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7DDE2" w14:textId="77777777" w:rsidR="00E21F24" w:rsidRDefault="00E21F24" w:rsidP="00BF35A7">
      <w:pPr>
        <w:tabs>
          <w:tab w:val="left" w:pos="1425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1BDED37" w14:textId="4FE7BBC9" w:rsidR="00C35622" w:rsidRPr="007F6CDE" w:rsidRDefault="00E21F24" w:rsidP="00BF35A7">
      <w:pPr>
        <w:tabs>
          <w:tab w:val="left" w:pos="1425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 16-01-0</w:t>
      </w:r>
      <w:r w:rsidR="006F7FC0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5C88">
        <w:rPr>
          <w:rFonts w:ascii="Arial" w:hAnsi="Arial" w:cs="Arial"/>
          <w:b/>
          <w:sz w:val="28"/>
          <w:szCs w:val="28"/>
        </w:rPr>
        <w:t>Formato</w:t>
      </w:r>
      <w:r w:rsidR="00080A80" w:rsidRPr="007F6CDE">
        <w:rPr>
          <w:rFonts w:ascii="Arial" w:hAnsi="Arial" w:cs="Arial"/>
          <w:b/>
          <w:sz w:val="28"/>
          <w:szCs w:val="28"/>
        </w:rPr>
        <w:t xml:space="preserve"> para el</w:t>
      </w:r>
      <w:r w:rsidR="003F61EA" w:rsidRPr="007F6CDE">
        <w:rPr>
          <w:rFonts w:ascii="Arial" w:hAnsi="Arial" w:cs="Arial"/>
          <w:b/>
          <w:sz w:val="28"/>
          <w:szCs w:val="28"/>
        </w:rPr>
        <w:t>aboración del</w:t>
      </w:r>
      <w:r w:rsidR="00080A80" w:rsidRPr="007F6CDE">
        <w:rPr>
          <w:rFonts w:ascii="Arial" w:hAnsi="Arial" w:cs="Arial"/>
          <w:b/>
          <w:sz w:val="28"/>
          <w:szCs w:val="28"/>
        </w:rPr>
        <w:t xml:space="preserve"> </w:t>
      </w:r>
      <w:r w:rsidR="008044F6">
        <w:rPr>
          <w:rFonts w:ascii="Arial" w:hAnsi="Arial" w:cs="Arial"/>
          <w:b/>
          <w:sz w:val="28"/>
          <w:szCs w:val="28"/>
        </w:rPr>
        <w:t>P</w:t>
      </w:r>
      <w:r w:rsidR="00080A80" w:rsidRPr="007F6CDE">
        <w:rPr>
          <w:rFonts w:ascii="Arial" w:hAnsi="Arial" w:cs="Arial"/>
          <w:b/>
          <w:sz w:val="28"/>
          <w:szCs w:val="28"/>
        </w:rPr>
        <w:t>r</w:t>
      </w:r>
      <w:r w:rsidR="00393776">
        <w:rPr>
          <w:rFonts w:ascii="Arial" w:hAnsi="Arial" w:cs="Arial"/>
          <w:b/>
          <w:sz w:val="28"/>
          <w:szCs w:val="28"/>
        </w:rPr>
        <w:t>ocedimiento</w:t>
      </w:r>
      <w:r w:rsidR="003F61EA" w:rsidRPr="007F6CDE">
        <w:rPr>
          <w:rFonts w:ascii="Arial" w:hAnsi="Arial" w:cs="Arial"/>
          <w:b/>
          <w:sz w:val="28"/>
          <w:szCs w:val="28"/>
        </w:rPr>
        <w:t xml:space="preserve"> </w:t>
      </w:r>
      <w:r w:rsidR="002E5519">
        <w:rPr>
          <w:rFonts w:ascii="Arial" w:hAnsi="Arial" w:cs="Arial"/>
          <w:b/>
          <w:sz w:val="28"/>
          <w:szCs w:val="28"/>
        </w:rPr>
        <w:t xml:space="preserve">para </w:t>
      </w:r>
      <w:r w:rsidR="006F7FC0">
        <w:rPr>
          <w:rFonts w:ascii="Arial" w:hAnsi="Arial" w:cs="Arial"/>
          <w:b/>
          <w:sz w:val="28"/>
          <w:szCs w:val="28"/>
        </w:rPr>
        <w:t xml:space="preserve">la </w:t>
      </w:r>
      <w:r w:rsidR="006F7FC0" w:rsidRPr="006F7FC0">
        <w:rPr>
          <w:rFonts w:ascii="Arial" w:hAnsi="Arial" w:cs="Arial"/>
          <w:b/>
          <w:sz w:val="28"/>
          <w:szCs w:val="28"/>
        </w:rPr>
        <w:t>elaboración de preparaciones magistrales y oficinales en la farmacia</w:t>
      </w:r>
    </w:p>
    <w:p w14:paraId="4E4240B4" w14:textId="77777777" w:rsidR="00080A80" w:rsidRPr="007F6CDE" w:rsidRDefault="00080A80" w:rsidP="00BF35A7">
      <w:pPr>
        <w:tabs>
          <w:tab w:val="left" w:pos="1425"/>
        </w:tabs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</w:p>
    <w:p w14:paraId="3C2ADAAD" w14:textId="60573B19" w:rsidR="006F7FC0" w:rsidRPr="00921748" w:rsidRDefault="006F7FC0" w:rsidP="006F7FC0">
      <w:pPr>
        <w:spacing w:line="276" w:lineRule="auto"/>
        <w:ind w:firstLine="567"/>
        <w:jc w:val="both"/>
        <w:rPr>
          <w:rFonts w:ascii="Arial" w:hAnsi="Arial" w:cs="Arial"/>
        </w:rPr>
      </w:pPr>
      <w:r w:rsidRPr="00921748">
        <w:rPr>
          <w:rFonts w:ascii="Arial" w:hAnsi="Arial" w:cs="Arial"/>
        </w:rPr>
        <w:t xml:space="preserve">El Colegio de Farmacéuticos de Costa Rica, pone a disposición de todos los profesionales farmacéuticos </w:t>
      </w:r>
      <w:r w:rsidR="00E37CAE">
        <w:rPr>
          <w:rFonts w:ascii="Arial" w:hAnsi="Arial" w:cs="Arial"/>
        </w:rPr>
        <w:t xml:space="preserve">el </w:t>
      </w:r>
      <w:r w:rsidR="00DB1785">
        <w:rPr>
          <w:rFonts w:ascii="Arial" w:hAnsi="Arial" w:cs="Arial"/>
        </w:rPr>
        <w:t>“F</w:t>
      </w:r>
      <w:r w:rsidR="00E37CAE">
        <w:rPr>
          <w:rFonts w:ascii="Arial" w:hAnsi="Arial" w:cs="Arial"/>
        </w:rPr>
        <w:t>ormato</w:t>
      </w:r>
      <w:r w:rsidRPr="00921748">
        <w:rPr>
          <w:rFonts w:ascii="Arial" w:hAnsi="Arial" w:cs="Arial"/>
        </w:rPr>
        <w:t xml:space="preserve"> para la elaboración del pro</w:t>
      </w:r>
      <w:r w:rsidR="00E37CAE">
        <w:rPr>
          <w:rFonts w:ascii="Arial" w:hAnsi="Arial" w:cs="Arial"/>
        </w:rPr>
        <w:t>cedimiento</w:t>
      </w:r>
      <w:r w:rsidRPr="00921748">
        <w:rPr>
          <w:rFonts w:ascii="Arial" w:hAnsi="Arial" w:cs="Arial"/>
        </w:rPr>
        <w:t xml:space="preserve"> </w:t>
      </w:r>
      <w:r w:rsidR="00DB1785">
        <w:rPr>
          <w:rFonts w:ascii="Arial" w:hAnsi="Arial" w:cs="Arial"/>
        </w:rPr>
        <w:t>para la elaboración de</w:t>
      </w:r>
      <w:r w:rsidRPr="00921748">
        <w:rPr>
          <w:rFonts w:ascii="Arial" w:hAnsi="Arial" w:cs="Arial"/>
        </w:rPr>
        <w:t xml:space="preserve"> preparaciones magistrales</w:t>
      </w:r>
      <w:r>
        <w:rPr>
          <w:rFonts w:ascii="Arial" w:hAnsi="Arial" w:cs="Arial"/>
        </w:rPr>
        <w:t xml:space="preserve"> y oficinales</w:t>
      </w:r>
      <w:r w:rsidRPr="00921748">
        <w:rPr>
          <w:rFonts w:ascii="Arial" w:hAnsi="Arial" w:cs="Arial"/>
        </w:rPr>
        <w:t xml:space="preserve"> en la farmacia, con el propósito de brindar una herramienta y guía clara para contar con un “</w:t>
      </w:r>
      <w:r w:rsidR="00E37CAE">
        <w:rPr>
          <w:rFonts w:ascii="Arial" w:hAnsi="Arial" w:cs="Arial"/>
        </w:rPr>
        <w:t>P</w:t>
      </w:r>
      <w:r w:rsidRPr="00921748">
        <w:rPr>
          <w:rFonts w:ascii="Arial" w:hAnsi="Arial" w:cs="Arial"/>
        </w:rPr>
        <w:t>ro</w:t>
      </w:r>
      <w:r w:rsidR="00E37CAE">
        <w:rPr>
          <w:rFonts w:ascii="Arial" w:hAnsi="Arial" w:cs="Arial"/>
        </w:rPr>
        <w:t>cedimiento</w:t>
      </w:r>
      <w:r w:rsidRPr="00921748">
        <w:rPr>
          <w:rFonts w:ascii="Arial" w:hAnsi="Arial" w:cs="Arial"/>
        </w:rPr>
        <w:t xml:space="preserve"> de elaboración de preparaciones </w:t>
      </w:r>
      <w:r w:rsidRPr="00B72F15">
        <w:rPr>
          <w:rFonts w:ascii="Arial" w:hAnsi="Arial" w:cs="Arial"/>
        </w:rPr>
        <w:t xml:space="preserve">magistrales </w:t>
      </w:r>
      <w:r w:rsidRPr="00B72F15">
        <w:rPr>
          <w:rFonts w:ascii="Arial" w:hAnsi="Arial" w:cs="Arial"/>
          <w:b/>
          <w:bCs/>
          <w:color w:val="FF0000"/>
        </w:rPr>
        <w:t>[y oficinales]</w:t>
      </w:r>
      <w:r w:rsidRPr="00921748">
        <w:rPr>
          <w:rFonts w:ascii="Arial" w:hAnsi="Arial" w:cs="Arial"/>
        </w:rPr>
        <w:t xml:space="preserve"> en la farmacia”; que incluya los requisitos técnicos y profesionales necesarios para el cumplimiento de lo indicado en el inciso 4.6.4 de la Norma para la Habilitación de Farmacias, decreto ejecutivo N°. 31969-S.</w:t>
      </w:r>
    </w:p>
    <w:p w14:paraId="7ED59C93" w14:textId="351D0109" w:rsidR="00C35622" w:rsidRPr="007F6CDE" w:rsidRDefault="00C35622" w:rsidP="00E21F24">
      <w:pPr>
        <w:spacing w:line="276" w:lineRule="auto"/>
        <w:ind w:firstLine="567"/>
        <w:jc w:val="both"/>
        <w:rPr>
          <w:rFonts w:ascii="Arial" w:hAnsi="Arial" w:cs="Arial"/>
        </w:rPr>
      </w:pPr>
      <w:r w:rsidRPr="007F6CDE">
        <w:rPr>
          <w:rFonts w:ascii="Arial" w:hAnsi="Arial" w:cs="Arial"/>
        </w:rPr>
        <w:t xml:space="preserve">Como </w:t>
      </w:r>
      <w:r w:rsidR="00EE5C88">
        <w:rPr>
          <w:rFonts w:ascii="Arial" w:hAnsi="Arial" w:cs="Arial"/>
        </w:rPr>
        <w:t>formato</w:t>
      </w:r>
      <w:r w:rsidRPr="007F6CDE">
        <w:rPr>
          <w:rFonts w:ascii="Arial" w:hAnsi="Arial" w:cs="Arial"/>
        </w:rPr>
        <w:t>, este documento es una base para que el profesional farma</w:t>
      </w:r>
      <w:r w:rsidR="008B0F46" w:rsidRPr="007F6CDE">
        <w:rPr>
          <w:rFonts w:ascii="Arial" w:hAnsi="Arial" w:cs="Arial"/>
        </w:rPr>
        <w:t>céutico pueda modificarlo</w:t>
      </w:r>
      <w:r w:rsidRPr="007F6CDE">
        <w:rPr>
          <w:rFonts w:ascii="Arial" w:hAnsi="Arial" w:cs="Arial"/>
        </w:rPr>
        <w:t xml:space="preserve"> a su criterio y lo adapte a</w:t>
      </w:r>
      <w:r w:rsidR="008B0F46" w:rsidRPr="007F6CDE">
        <w:rPr>
          <w:rFonts w:ascii="Arial" w:hAnsi="Arial" w:cs="Arial"/>
        </w:rPr>
        <w:t>l establecimiento donde labora, s</w:t>
      </w:r>
      <w:r w:rsidRPr="007F6CDE">
        <w:rPr>
          <w:rFonts w:ascii="Arial" w:hAnsi="Arial" w:cs="Arial"/>
        </w:rPr>
        <w:t xml:space="preserve">in embargo, recomendamos que solamente realice las modificaciones en los lugares indicados </w:t>
      </w:r>
      <w:r w:rsidRPr="007F6CDE">
        <w:rPr>
          <w:rFonts w:ascii="Arial" w:hAnsi="Arial" w:cs="Arial"/>
          <w:b/>
          <w:bCs/>
          <w:color w:val="FF0000"/>
        </w:rPr>
        <w:t>[entre paréntesis cuadrados, resaltado y en letras rojas]</w:t>
      </w:r>
      <w:r w:rsidRPr="007F6CDE">
        <w:rPr>
          <w:rFonts w:ascii="Arial" w:hAnsi="Arial" w:cs="Arial"/>
        </w:rPr>
        <w:t xml:space="preserve">, esto a menos que </w:t>
      </w:r>
      <w:r w:rsidR="00AE3138">
        <w:rPr>
          <w:rFonts w:ascii="Arial" w:hAnsi="Arial" w:cs="Arial"/>
        </w:rPr>
        <w:t>se</w:t>
      </w:r>
      <w:r w:rsidRPr="007F6CDE">
        <w:rPr>
          <w:rFonts w:ascii="Arial" w:hAnsi="Arial" w:cs="Arial"/>
        </w:rPr>
        <w:t xml:space="preserve"> considere incluir más información, según su criterio. </w:t>
      </w:r>
    </w:p>
    <w:p w14:paraId="28C5DAA1" w14:textId="2C706C69" w:rsidR="00285E35" w:rsidRPr="007F6CDE" w:rsidRDefault="00D37598" w:rsidP="00BF35A7">
      <w:pPr>
        <w:spacing w:line="276" w:lineRule="auto"/>
        <w:jc w:val="both"/>
        <w:rPr>
          <w:rFonts w:ascii="Arial" w:hAnsi="Arial" w:cs="Arial"/>
          <w:b/>
          <w:bCs/>
        </w:rPr>
      </w:pPr>
      <w:r w:rsidRPr="007F6CDE">
        <w:rPr>
          <w:rFonts w:ascii="Arial" w:hAnsi="Arial" w:cs="Arial"/>
          <w:b/>
          <w:bCs/>
        </w:rPr>
        <w:t>Justificación</w:t>
      </w:r>
    </w:p>
    <w:p w14:paraId="38B03D3B" w14:textId="77777777" w:rsidR="006F7FC0" w:rsidRDefault="006F7FC0" w:rsidP="006F7FC0">
      <w:pPr>
        <w:spacing w:line="276" w:lineRule="auto"/>
        <w:jc w:val="both"/>
        <w:rPr>
          <w:rFonts w:ascii="Arial" w:hAnsi="Arial" w:cs="Arial"/>
        </w:rPr>
      </w:pPr>
      <w:r w:rsidRPr="0092174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elaboración de </w:t>
      </w:r>
      <w:r w:rsidRPr="00921748">
        <w:rPr>
          <w:rFonts w:ascii="Arial" w:hAnsi="Arial" w:cs="Arial"/>
        </w:rPr>
        <w:t>preparaci</w:t>
      </w:r>
      <w:r>
        <w:rPr>
          <w:rFonts w:ascii="Arial" w:hAnsi="Arial" w:cs="Arial"/>
        </w:rPr>
        <w:t>o</w:t>
      </w:r>
      <w:r w:rsidRPr="00921748">
        <w:rPr>
          <w:rFonts w:ascii="Arial" w:hAnsi="Arial" w:cs="Arial"/>
        </w:rPr>
        <w:t>n</w:t>
      </w:r>
      <w:r>
        <w:rPr>
          <w:rFonts w:ascii="Arial" w:hAnsi="Arial" w:cs="Arial"/>
        </w:rPr>
        <w:t>es</w:t>
      </w:r>
      <w:r w:rsidRPr="00921748">
        <w:rPr>
          <w:rFonts w:ascii="Arial" w:hAnsi="Arial" w:cs="Arial"/>
        </w:rPr>
        <w:t xml:space="preserve"> magistral</w:t>
      </w:r>
      <w:r>
        <w:rPr>
          <w:rFonts w:ascii="Arial" w:hAnsi="Arial" w:cs="Arial"/>
        </w:rPr>
        <w:t>es y oficinales</w:t>
      </w:r>
      <w:r w:rsidRPr="00921748">
        <w:rPr>
          <w:rFonts w:ascii="Arial" w:hAnsi="Arial" w:cs="Arial"/>
        </w:rPr>
        <w:t xml:space="preserve"> es un área </w:t>
      </w:r>
      <w:r>
        <w:rPr>
          <w:rFonts w:ascii="Arial" w:hAnsi="Arial" w:cs="Arial"/>
        </w:rPr>
        <w:t xml:space="preserve">exclusiva del ejercicio profesional farmacéutico. Por su naturaleza, la preparación magistral responde a una necesidad de un paciente específico determinada por parte de un médico, el cual prescribe una dosis o presentación no disponible en el mercado de comercio regular de medicamentos, ajustada para resolver el padecimiento del paciente. La preparación oficinal responde a una fórmula con seguridad y eficacia preestablecida en libros o formularios reconocidos. </w:t>
      </w:r>
    </w:p>
    <w:p w14:paraId="5BF83000" w14:textId="58380B51" w:rsidR="005672F1" w:rsidRPr="007F6CDE" w:rsidRDefault="006F7FC0" w:rsidP="006F7FC0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  <w:r>
        <w:rPr>
          <w:rFonts w:ascii="Arial" w:hAnsi="Arial" w:cs="Arial"/>
        </w:rPr>
        <w:t>El regente farmacéutico o el profesional farmacéutico que elabore preparaciones de medicamentos de cualquier tipo debe hacerlo con la mayor prestación al detalle farmacotécnico, para así brindar a los pacientes medicamentos que cumplan con la seguridad, efectividad y calidad que exige el sistema sanitario del país. Contar con pr</w:t>
      </w:r>
      <w:r w:rsidR="00E37CAE">
        <w:rPr>
          <w:rFonts w:ascii="Arial" w:hAnsi="Arial" w:cs="Arial"/>
        </w:rPr>
        <w:t>ocedimientos</w:t>
      </w:r>
      <w:r>
        <w:rPr>
          <w:rFonts w:ascii="Arial" w:hAnsi="Arial" w:cs="Arial"/>
        </w:rPr>
        <w:t xml:space="preserve"> operativos claros y apegados a la normativa nacional son claves para cumplir con estos conceptos de gran importancia.</w:t>
      </w:r>
    </w:p>
    <w:p w14:paraId="047764F2" w14:textId="77777777" w:rsidR="00285E35" w:rsidRPr="007F6CDE" w:rsidRDefault="00285E35" w:rsidP="00BF35A7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</w:p>
    <w:p w14:paraId="273B4A2F" w14:textId="77777777" w:rsidR="00285E35" w:rsidRPr="007F6CDE" w:rsidRDefault="00285E35" w:rsidP="00BF35A7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4AE76FC6" w14:textId="47BA80A5" w:rsidR="00112A31" w:rsidRPr="007F6CDE" w:rsidRDefault="00112A31" w:rsidP="00BF35A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7F6CDE">
        <w:rPr>
          <w:rFonts w:ascii="Arial" w:hAnsi="Arial" w:cs="Arial"/>
          <w:b/>
          <w:bCs/>
          <w:color w:val="FF0000"/>
        </w:rPr>
        <w:t>[----------------------------------------------------[inicio]----------------------------------------------------]</w:t>
      </w:r>
    </w:p>
    <w:p w14:paraId="1B1EAEF7" w14:textId="77777777" w:rsidR="0074140F" w:rsidRPr="007F6CDE" w:rsidRDefault="0074140F" w:rsidP="00BF35A7">
      <w:pPr>
        <w:spacing w:line="276" w:lineRule="auto"/>
        <w:rPr>
          <w:rFonts w:ascii="Arial" w:hAnsi="Arial" w:cs="Arial"/>
          <w:b/>
          <w:sz w:val="24"/>
          <w:szCs w:val="24"/>
          <w:lang w:val="es-CR"/>
        </w:rPr>
      </w:pPr>
      <w:r w:rsidRPr="007F6CDE">
        <w:rPr>
          <w:rFonts w:ascii="Arial" w:hAnsi="Arial" w:cs="Arial"/>
          <w:b/>
          <w:sz w:val="24"/>
          <w:szCs w:val="24"/>
          <w:lang w:val="es-CR"/>
        </w:rPr>
        <w:br w:type="page"/>
      </w:r>
    </w:p>
    <w:p w14:paraId="032B02CA" w14:textId="0A867373" w:rsidR="0013538D" w:rsidRPr="00ED2748" w:rsidRDefault="005D7401" w:rsidP="00ED2748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lastRenderedPageBreak/>
        <w:t>Objetivo</w:t>
      </w:r>
    </w:p>
    <w:p w14:paraId="2D550C89" w14:textId="1B45C7E4" w:rsidR="0062093D" w:rsidRPr="00663292" w:rsidRDefault="00663292" w:rsidP="00B80529">
      <w:pPr>
        <w:spacing w:line="276" w:lineRule="auto"/>
        <w:jc w:val="both"/>
        <w:rPr>
          <w:rFonts w:ascii="Arial" w:hAnsi="Arial" w:cs="Arial"/>
        </w:rPr>
      </w:pPr>
      <w:r w:rsidRPr="00663292">
        <w:rPr>
          <w:rFonts w:ascii="Arial" w:hAnsi="Arial" w:cs="Arial"/>
        </w:rPr>
        <w:t xml:space="preserve">Asegurar que las preparaciones magistrales y oficinales se elaboren con calidad, seguridad y efectividad en </w:t>
      </w:r>
      <w:r w:rsidRPr="00663292">
        <w:rPr>
          <w:rFonts w:ascii="Arial" w:hAnsi="Arial" w:cs="Arial"/>
          <w:b/>
          <w:bCs/>
          <w:color w:val="FF0000"/>
        </w:rPr>
        <w:t>[colocar nombre del establecimiento]</w:t>
      </w:r>
      <w:r>
        <w:rPr>
          <w:rFonts w:ascii="Arial" w:hAnsi="Arial" w:cs="Arial"/>
        </w:rPr>
        <w:t>, en cumplimiento con la normativa vigente.</w:t>
      </w:r>
    </w:p>
    <w:p w14:paraId="3EC2899A" w14:textId="77777777" w:rsidR="00202289" w:rsidRPr="007F6CDE" w:rsidRDefault="00202289" w:rsidP="00BF35A7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</w:p>
    <w:p w14:paraId="32CEBC90" w14:textId="77777777" w:rsidR="00BC03CC" w:rsidRPr="00ED2748" w:rsidRDefault="00BC03CC" w:rsidP="00ED2748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Responsables</w:t>
      </w:r>
    </w:p>
    <w:p w14:paraId="40249D28" w14:textId="77777777" w:rsidR="00BC03CC" w:rsidRPr="007F6CDE" w:rsidRDefault="00BC03CC" w:rsidP="00BF35A7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</w:p>
    <w:p w14:paraId="57ADCDE3" w14:textId="2C11E487" w:rsidR="00326A2B" w:rsidRPr="007F6CDE" w:rsidRDefault="00733B8B" w:rsidP="00BF35A7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  <w:r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>Regente Farmacéutico:</w:t>
      </w:r>
      <w:r w:rsidR="00686852" w:rsidRPr="007F6CDE">
        <w:rPr>
          <w:rFonts w:ascii="Arial" w:eastAsia="Times New Roman" w:hAnsi="Arial" w:cs="Arial"/>
          <w:szCs w:val="20"/>
          <w:lang w:val="es-CR" w:eastAsia="es-ES"/>
        </w:rPr>
        <w:t xml:space="preserve"> </w:t>
      </w:r>
      <w:r w:rsidR="00663292" w:rsidRPr="00663292">
        <w:rPr>
          <w:rFonts w:ascii="Arial" w:eastAsia="Times New Roman" w:hAnsi="Arial" w:cs="Arial"/>
          <w:szCs w:val="20"/>
          <w:lang w:val="es-CR" w:eastAsia="es-ES"/>
        </w:rPr>
        <w:t>asegurar que las preparaciones magistrales y oficinales que se elaboran en el establecimiento cumplan con los requerimientos de seguridad, efectividad y calidad.</w:t>
      </w:r>
    </w:p>
    <w:p w14:paraId="2FA2375A" w14:textId="5DE24417" w:rsidR="00285E35" w:rsidRDefault="00285E35" w:rsidP="00BF35A7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</w:p>
    <w:p w14:paraId="4C5B1027" w14:textId="202306A0" w:rsidR="00663292" w:rsidRPr="007F6CDE" w:rsidRDefault="00663292" w:rsidP="00BF35A7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  <w:r w:rsidRPr="00663292">
        <w:rPr>
          <w:rFonts w:ascii="Arial" w:eastAsia="Times New Roman" w:hAnsi="Arial" w:cs="Arial"/>
          <w:b/>
          <w:bCs/>
          <w:szCs w:val="20"/>
          <w:lang w:val="es-CR" w:eastAsia="es-ES"/>
        </w:rPr>
        <w:t>Profesional</w:t>
      </w:r>
      <w:r w:rsidRPr="00663292">
        <w:rPr>
          <w:rFonts w:ascii="Arial" w:eastAsia="Times New Roman" w:hAnsi="Arial" w:cs="Arial"/>
          <w:b/>
          <w:bCs/>
          <w:color w:val="FF0000"/>
          <w:szCs w:val="20"/>
          <w:lang w:val="es-CR" w:eastAsia="es-ES"/>
        </w:rPr>
        <w:t xml:space="preserve">[es] </w:t>
      </w:r>
      <w:r w:rsidRPr="00663292">
        <w:rPr>
          <w:rFonts w:ascii="Arial" w:eastAsia="Times New Roman" w:hAnsi="Arial" w:cs="Arial"/>
          <w:b/>
          <w:bCs/>
          <w:szCs w:val="20"/>
          <w:lang w:val="es-CR" w:eastAsia="es-ES"/>
        </w:rPr>
        <w:t>farmacéutico</w:t>
      </w:r>
      <w:r w:rsidRPr="00663292">
        <w:rPr>
          <w:rFonts w:ascii="Arial" w:eastAsia="Times New Roman" w:hAnsi="Arial" w:cs="Arial"/>
          <w:b/>
          <w:bCs/>
          <w:color w:val="FF0000"/>
          <w:szCs w:val="20"/>
          <w:lang w:val="es-CR" w:eastAsia="es-ES"/>
        </w:rPr>
        <w:t>[s]</w:t>
      </w:r>
      <w:r w:rsidRPr="00663292">
        <w:rPr>
          <w:rFonts w:ascii="Arial" w:eastAsia="Times New Roman" w:hAnsi="Arial" w:cs="Arial"/>
          <w:b/>
          <w:bCs/>
          <w:szCs w:val="20"/>
          <w:lang w:val="es-CR" w:eastAsia="es-ES"/>
        </w:rPr>
        <w:t>:</w:t>
      </w:r>
      <w:r w:rsidRPr="00663292">
        <w:rPr>
          <w:rFonts w:ascii="Arial" w:eastAsia="Times New Roman" w:hAnsi="Arial" w:cs="Arial"/>
          <w:szCs w:val="20"/>
          <w:lang w:val="es-CR" w:eastAsia="es-ES"/>
        </w:rPr>
        <w:t xml:space="preserve"> cumplir con las Buenas prácticas de elaboración y control de calidad de preparaciones magistrales y oficinales.</w:t>
      </w:r>
    </w:p>
    <w:p w14:paraId="0FF8FBD8" w14:textId="77777777" w:rsidR="00663292" w:rsidRDefault="00663292" w:rsidP="00BF35A7">
      <w:pPr>
        <w:spacing w:after="0" w:line="276" w:lineRule="auto"/>
        <w:jc w:val="both"/>
        <w:rPr>
          <w:rFonts w:ascii="Arial" w:eastAsia="Times New Roman" w:hAnsi="Arial" w:cs="Arial"/>
          <w:b/>
          <w:bCs/>
          <w:szCs w:val="20"/>
          <w:lang w:val="es-CR" w:eastAsia="es-ES"/>
        </w:rPr>
      </w:pPr>
    </w:p>
    <w:p w14:paraId="5BD1AC11" w14:textId="1BCBE892" w:rsidR="00686852" w:rsidRPr="007F6CDE" w:rsidRDefault="00733B8B" w:rsidP="00BF35A7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  <w:r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>Propietario</w:t>
      </w:r>
      <w:r w:rsidR="00686852"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>:</w:t>
      </w:r>
      <w:r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 xml:space="preserve"> </w:t>
      </w:r>
      <w:r w:rsidR="00686852" w:rsidRPr="007F6CDE">
        <w:rPr>
          <w:rFonts w:ascii="Arial" w:eastAsia="Times New Roman" w:hAnsi="Arial" w:cs="Arial"/>
          <w:szCs w:val="20"/>
          <w:lang w:val="es-CR" w:eastAsia="es-ES"/>
        </w:rPr>
        <w:t>proveer a la farmacia de los implementos y materiales necesarios para</w:t>
      </w:r>
      <w:r w:rsidR="00663292">
        <w:rPr>
          <w:rFonts w:ascii="Arial" w:eastAsia="Times New Roman" w:hAnsi="Arial" w:cs="Arial"/>
          <w:szCs w:val="20"/>
          <w:lang w:val="es-CR" w:eastAsia="es-ES"/>
        </w:rPr>
        <w:t xml:space="preserve"> elaborar y verificar la calidad de cada preparación magistra u oficinal.</w:t>
      </w:r>
    </w:p>
    <w:p w14:paraId="72AFEABD" w14:textId="77777777" w:rsidR="00686852" w:rsidRPr="007F6CDE" w:rsidRDefault="00686852" w:rsidP="00BF35A7">
      <w:pPr>
        <w:spacing w:after="0" w:line="276" w:lineRule="auto"/>
        <w:jc w:val="both"/>
        <w:rPr>
          <w:rFonts w:ascii="Arial" w:eastAsia="Times New Roman" w:hAnsi="Arial" w:cs="Arial"/>
          <w:b/>
          <w:bCs/>
          <w:szCs w:val="20"/>
          <w:lang w:val="es-CR" w:eastAsia="es-ES"/>
        </w:rPr>
      </w:pPr>
    </w:p>
    <w:p w14:paraId="41C06CCF" w14:textId="3045AFB9" w:rsidR="00733B8B" w:rsidRPr="007F6CDE" w:rsidRDefault="00686852" w:rsidP="00BF35A7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  <w:r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>P</w:t>
      </w:r>
      <w:r w:rsidR="00733B8B" w:rsidRPr="007F6CDE">
        <w:rPr>
          <w:rFonts w:ascii="Arial" w:eastAsia="Times New Roman" w:hAnsi="Arial" w:cs="Arial"/>
          <w:b/>
          <w:bCs/>
          <w:szCs w:val="20"/>
          <w:lang w:val="es-CR" w:eastAsia="es-ES"/>
        </w:rPr>
        <w:t>ersonal auxiliar:</w:t>
      </w:r>
      <w:r w:rsidR="00733B8B" w:rsidRPr="007F6CDE">
        <w:rPr>
          <w:rFonts w:ascii="Arial" w:eastAsia="Times New Roman" w:hAnsi="Arial" w:cs="Arial"/>
          <w:szCs w:val="20"/>
          <w:lang w:val="es-CR" w:eastAsia="es-ES"/>
        </w:rPr>
        <w:t xml:space="preserve"> </w:t>
      </w:r>
      <w:r w:rsidRPr="007F6CDE">
        <w:rPr>
          <w:rFonts w:ascii="Arial" w:eastAsia="Times New Roman" w:hAnsi="Arial" w:cs="Arial"/>
          <w:szCs w:val="20"/>
          <w:lang w:val="es-CR" w:eastAsia="es-ES"/>
        </w:rPr>
        <w:t>c</w:t>
      </w:r>
      <w:r w:rsidR="00733B8B" w:rsidRPr="007F6CDE">
        <w:rPr>
          <w:rFonts w:ascii="Arial" w:eastAsia="Times New Roman" w:hAnsi="Arial" w:cs="Arial"/>
          <w:szCs w:val="20"/>
          <w:lang w:val="es-CR" w:eastAsia="es-ES"/>
        </w:rPr>
        <w:t>umplir las disposiciones del pro</w:t>
      </w:r>
      <w:r w:rsidR="00393776">
        <w:rPr>
          <w:rFonts w:ascii="Arial" w:eastAsia="Times New Roman" w:hAnsi="Arial" w:cs="Arial"/>
          <w:szCs w:val="20"/>
          <w:lang w:val="es-CR" w:eastAsia="es-ES"/>
        </w:rPr>
        <w:t>cedimiento</w:t>
      </w:r>
      <w:r w:rsidR="00733B8B" w:rsidRPr="007F6CDE">
        <w:rPr>
          <w:rFonts w:ascii="Arial" w:eastAsia="Times New Roman" w:hAnsi="Arial" w:cs="Arial"/>
          <w:szCs w:val="20"/>
          <w:lang w:val="es-CR" w:eastAsia="es-ES"/>
        </w:rPr>
        <w:t xml:space="preserve"> cuando aplique dentro de sus funciones. </w:t>
      </w:r>
    </w:p>
    <w:p w14:paraId="6B686ADE" w14:textId="77777777" w:rsidR="00686852" w:rsidRPr="007F6CDE" w:rsidRDefault="00686852" w:rsidP="00BF35A7">
      <w:pPr>
        <w:spacing w:after="0" w:line="276" w:lineRule="auto"/>
        <w:jc w:val="both"/>
        <w:rPr>
          <w:rFonts w:ascii="Arial" w:eastAsia="Times New Roman" w:hAnsi="Arial" w:cs="Arial"/>
          <w:szCs w:val="20"/>
          <w:lang w:val="es-CR" w:eastAsia="es-ES"/>
        </w:rPr>
      </w:pPr>
    </w:p>
    <w:p w14:paraId="407065BD" w14:textId="05D24C71" w:rsidR="00BC03CC" w:rsidRPr="007F6CDE" w:rsidRDefault="00662A43" w:rsidP="00BF35A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7F6CDE">
        <w:rPr>
          <w:rFonts w:ascii="Arial" w:hAnsi="Arial" w:cs="Arial"/>
          <w:b/>
          <w:bCs/>
          <w:color w:val="FF0000"/>
        </w:rPr>
        <w:t xml:space="preserve">[Se puede establecer responsabilidades más específicas al personal profesional o no profesional del establecimiento </w:t>
      </w:r>
      <w:r w:rsidR="00257731" w:rsidRPr="007F6CDE">
        <w:rPr>
          <w:rFonts w:ascii="Arial" w:hAnsi="Arial" w:cs="Arial"/>
          <w:b/>
          <w:bCs/>
          <w:color w:val="FF0000"/>
        </w:rPr>
        <w:t xml:space="preserve">y </w:t>
      </w:r>
      <w:r w:rsidR="00733B8B" w:rsidRPr="007F6CDE">
        <w:rPr>
          <w:rFonts w:ascii="Arial" w:hAnsi="Arial" w:cs="Arial"/>
          <w:b/>
          <w:bCs/>
          <w:color w:val="FF0000"/>
        </w:rPr>
        <w:t>deberá</w:t>
      </w:r>
      <w:r w:rsidRPr="007F6CDE">
        <w:rPr>
          <w:rFonts w:ascii="Arial" w:hAnsi="Arial" w:cs="Arial"/>
          <w:b/>
          <w:bCs/>
          <w:color w:val="FF0000"/>
        </w:rPr>
        <w:t>n aparecer descritas en el documento “</w:t>
      </w:r>
      <w:r w:rsidRPr="007F6CDE">
        <w:rPr>
          <w:rFonts w:ascii="Arial" w:hAnsi="Arial" w:cs="Arial"/>
          <w:b/>
          <w:bCs/>
          <w:i/>
          <w:iCs/>
          <w:color w:val="FF0000"/>
        </w:rPr>
        <w:t>Pro</w:t>
      </w:r>
      <w:r w:rsidR="00393776">
        <w:rPr>
          <w:rFonts w:ascii="Arial" w:hAnsi="Arial" w:cs="Arial"/>
          <w:b/>
          <w:bCs/>
          <w:i/>
          <w:iCs/>
          <w:color w:val="FF0000"/>
        </w:rPr>
        <w:t xml:space="preserve">cedimiento </w:t>
      </w:r>
      <w:r w:rsidRPr="007F6CDE">
        <w:rPr>
          <w:rFonts w:ascii="Arial" w:hAnsi="Arial" w:cs="Arial"/>
          <w:b/>
          <w:bCs/>
          <w:i/>
          <w:iCs/>
          <w:color w:val="FF0000"/>
        </w:rPr>
        <w:t>de funciones y responsabilidades de puestos en la farmacia</w:t>
      </w:r>
      <w:r w:rsidRPr="007F6CDE">
        <w:rPr>
          <w:rFonts w:ascii="Arial" w:hAnsi="Arial" w:cs="Arial"/>
          <w:b/>
          <w:bCs/>
          <w:color w:val="FF0000"/>
        </w:rPr>
        <w:t>”]</w:t>
      </w:r>
    </w:p>
    <w:p w14:paraId="3A1F4E34" w14:textId="77777777" w:rsidR="00E21F24" w:rsidRDefault="00E21F24" w:rsidP="00BF35A7">
      <w:pPr>
        <w:spacing w:after="0" w:line="276" w:lineRule="auto"/>
        <w:jc w:val="both"/>
        <w:rPr>
          <w:rFonts w:ascii="Arial" w:eastAsia="Times New Roman" w:hAnsi="Arial" w:cs="Arial"/>
          <w:b/>
          <w:lang w:val="es-CR" w:eastAsia="es-ES"/>
        </w:rPr>
      </w:pPr>
    </w:p>
    <w:p w14:paraId="008D6A49" w14:textId="77956A63" w:rsidR="00BC03CC" w:rsidRPr="00ED2748" w:rsidRDefault="00BC03CC" w:rsidP="00ED2748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Alcance</w:t>
      </w:r>
    </w:p>
    <w:p w14:paraId="4C33125D" w14:textId="77777777" w:rsidR="00BC03CC" w:rsidRPr="007F6CDE" w:rsidRDefault="00BC03CC" w:rsidP="00BF35A7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CR" w:eastAsia="es-ES"/>
        </w:rPr>
      </w:pPr>
    </w:p>
    <w:p w14:paraId="5E545B31" w14:textId="68284BBD" w:rsidR="00BC03CC" w:rsidRPr="007F6CDE" w:rsidRDefault="00663437" w:rsidP="00BF35A7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  <w:r>
        <w:rPr>
          <w:rFonts w:ascii="Arial" w:hAnsi="Arial" w:cs="Arial"/>
        </w:rPr>
        <w:t>A</w:t>
      </w:r>
      <w:r w:rsidRPr="00921748">
        <w:rPr>
          <w:rFonts w:ascii="Arial" w:hAnsi="Arial" w:cs="Arial"/>
        </w:rPr>
        <w:t>plica para</w:t>
      </w:r>
      <w:r>
        <w:rPr>
          <w:rFonts w:ascii="Arial" w:hAnsi="Arial" w:cs="Arial"/>
        </w:rPr>
        <w:t xml:space="preserve"> toda preparación magistral </w:t>
      </w:r>
      <w:r w:rsidRPr="005550D9">
        <w:rPr>
          <w:rFonts w:ascii="Arial" w:hAnsi="Arial" w:cs="Arial"/>
          <w:b/>
          <w:bCs/>
          <w:color w:val="FF0000"/>
        </w:rPr>
        <w:t>[y oficinal]</w:t>
      </w:r>
      <w:r w:rsidRPr="005550D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elaborada en</w:t>
      </w:r>
      <w:r w:rsidRPr="00921748">
        <w:rPr>
          <w:rFonts w:ascii="Arial" w:hAnsi="Arial" w:cs="Arial"/>
        </w:rPr>
        <w:t xml:space="preserve"> </w:t>
      </w:r>
      <w:r w:rsidR="00326A2B" w:rsidRPr="007F6CDE">
        <w:rPr>
          <w:rFonts w:ascii="Arial" w:eastAsia="Times New Roman" w:hAnsi="Arial" w:cs="Arial"/>
          <w:b/>
          <w:color w:val="FF0000"/>
          <w:szCs w:val="20"/>
          <w:lang w:val="es-CR" w:eastAsia="es-ES"/>
        </w:rPr>
        <w:t>[Colocar el nombre de la Farmacia</w:t>
      </w:r>
      <w:r w:rsidR="00326A2B" w:rsidRPr="00AE3138">
        <w:rPr>
          <w:rFonts w:ascii="Arial" w:eastAsia="Times New Roman" w:hAnsi="Arial" w:cs="Arial"/>
          <w:b/>
          <w:color w:val="FF0000"/>
          <w:szCs w:val="20"/>
          <w:lang w:val="es-CR" w:eastAsia="es-ES"/>
        </w:rPr>
        <w:t>]</w:t>
      </w:r>
      <w:r w:rsidR="00A83917" w:rsidRPr="00AE3138">
        <w:rPr>
          <w:rFonts w:ascii="Arial" w:eastAsia="Times New Roman" w:hAnsi="Arial" w:cs="Arial"/>
          <w:b/>
          <w:color w:val="FF0000"/>
          <w:lang w:val="es-CR" w:eastAsia="es-ES"/>
        </w:rPr>
        <w:t>.</w:t>
      </w:r>
    </w:p>
    <w:p w14:paraId="653B5132" w14:textId="77777777" w:rsidR="00BC03CC" w:rsidRPr="007F6CDE" w:rsidRDefault="00BC03CC" w:rsidP="00BF35A7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</w:p>
    <w:p w14:paraId="2FA6E8AC" w14:textId="77777777" w:rsidR="00BC03CC" w:rsidRPr="00ED2748" w:rsidRDefault="00BC03CC" w:rsidP="00ED2748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Definiciones</w:t>
      </w:r>
    </w:p>
    <w:p w14:paraId="3138CB7A" w14:textId="77777777" w:rsidR="00BC03CC" w:rsidRPr="007F6CDE" w:rsidRDefault="00BC03CC" w:rsidP="00BF35A7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CR" w:eastAsia="es-ES"/>
        </w:rPr>
      </w:pPr>
    </w:p>
    <w:p w14:paraId="09EE2A52" w14:textId="77777777" w:rsidR="00663437" w:rsidRPr="00DC2C85" w:rsidRDefault="00663437" w:rsidP="006634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C2C85">
        <w:rPr>
          <w:rFonts w:ascii="Arial" w:hAnsi="Arial" w:cs="Arial"/>
          <w:b/>
          <w:bCs/>
        </w:rPr>
        <w:t>Preparación o preparado magistral o fórmula magistral</w:t>
      </w:r>
      <w:r>
        <w:rPr>
          <w:rFonts w:ascii="Arial" w:hAnsi="Arial" w:cs="Arial"/>
          <w:b/>
          <w:bCs/>
        </w:rPr>
        <w:t>:</w:t>
      </w:r>
      <w:r w:rsidRPr="00DC2C85">
        <w:rPr>
          <w:rFonts w:ascii="Arial" w:hAnsi="Arial" w:cs="Arial"/>
          <w:b/>
          <w:bCs/>
        </w:rPr>
        <w:t xml:space="preserve"> </w:t>
      </w:r>
      <w:r w:rsidRPr="00DC2C85">
        <w:rPr>
          <w:rFonts w:ascii="Arial" w:hAnsi="Arial" w:cs="Arial"/>
        </w:rPr>
        <w:t>Es el medicamento destinado a un paciente individualizado, preparado por un farmacéutico o bajo su dirección, para cumplir expresamente una prescripción detallada de los principios activos que incluye, según las buenas prácticas de elaboración y control de calidad establecidas al efecto, dispensado en las farmacia</w:t>
      </w:r>
      <w:r>
        <w:rPr>
          <w:rFonts w:ascii="Arial" w:hAnsi="Arial" w:cs="Arial"/>
        </w:rPr>
        <w:t>s</w:t>
      </w:r>
      <w:r w:rsidRPr="00DC2C85">
        <w:rPr>
          <w:rFonts w:ascii="Arial" w:hAnsi="Arial" w:cs="Arial"/>
        </w:rPr>
        <w:t xml:space="preserve"> </w:t>
      </w:r>
      <w:r w:rsidRPr="00DC2C85">
        <w:rPr>
          <w:rFonts w:ascii="Arial" w:hAnsi="Arial" w:cs="Arial"/>
        </w:rPr>
        <w:lastRenderedPageBreak/>
        <w:t>o servicios de farmacia hospitalarios y con la debida información al paciente.</w:t>
      </w:r>
      <w:r>
        <w:rPr>
          <w:rFonts w:ascii="Arial" w:hAnsi="Arial" w:cs="Arial"/>
        </w:rPr>
        <w:t xml:space="preserve"> </w:t>
      </w:r>
      <w:r w:rsidRPr="00A27724">
        <w:rPr>
          <w:rFonts w:ascii="Arial" w:hAnsi="Arial" w:cs="Arial"/>
        </w:rPr>
        <w:t>(Formulario Iberoamericano de Buenas Prácticas de Elaboración y Control de Calidad de Preparaciones Magistrales y Oficinales, 2014)</w:t>
      </w:r>
    </w:p>
    <w:p w14:paraId="1C0FFD24" w14:textId="77777777" w:rsidR="002F6317" w:rsidRPr="007F6CDE" w:rsidRDefault="002F6317" w:rsidP="00BF35A7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393F7A66" w14:textId="6055047D" w:rsidR="004E30B5" w:rsidRPr="00A27724" w:rsidRDefault="009A7D16" w:rsidP="00BF35A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DC2C85">
        <w:rPr>
          <w:rFonts w:ascii="Arial" w:hAnsi="Arial" w:cs="Arial"/>
          <w:b/>
          <w:bCs/>
        </w:rPr>
        <w:t>Preparación o preparado oficinal</w:t>
      </w:r>
      <w:r>
        <w:rPr>
          <w:rFonts w:ascii="Arial" w:hAnsi="Arial" w:cs="Arial"/>
          <w:b/>
          <w:bCs/>
        </w:rPr>
        <w:t>:</w:t>
      </w:r>
      <w:r w:rsidRPr="00DC2C85">
        <w:rPr>
          <w:rFonts w:ascii="Arial" w:hAnsi="Arial" w:cs="Arial"/>
          <w:b/>
          <w:bCs/>
        </w:rPr>
        <w:t xml:space="preserve"> </w:t>
      </w:r>
      <w:r w:rsidRPr="00DC2C85">
        <w:rPr>
          <w:rFonts w:ascii="Arial" w:hAnsi="Arial" w:cs="Arial"/>
        </w:rPr>
        <w:t>Es el medicamento destinado a su dispensación directa a los pacientes atendidos por las oficinas de farmacia o servicios de farmacia hospitalarios, preparado por un farmacéutico o bajo su dirección, descrito en un formulario oficial, preparado según las buenas prácticas de elaboración y control de calidad establecidas al efecto y con la debida información al paciente</w:t>
      </w:r>
      <w:r w:rsidRPr="00A27724">
        <w:rPr>
          <w:rFonts w:ascii="Arial" w:hAnsi="Arial" w:cs="Arial"/>
        </w:rPr>
        <w:t>. (Formulario Iberoamericano de Buenas Prácticas de Elaboración y Control de Calidad de Preparaciones Magistrales y Oficinales, 2014)</w:t>
      </w:r>
    </w:p>
    <w:p w14:paraId="389A21FA" w14:textId="77777777" w:rsidR="009A7D16" w:rsidRPr="00A27724" w:rsidRDefault="009A7D16" w:rsidP="00BF35A7">
      <w:pPr>
        <w:spacing w:after="0" w:line="276" w:lineRule="auto"/>
        <w:jc w:val="both"/>
        <w:rPr>
          <w:rFonts w:ascii="Arial" w:hAnsi="Arial" w:cs="Arial"/>
          <w:b/>
        </w:rPr>
      </w:pPr>
    </w:p>
    <w:p w14:paraId="68BC11D8" w14:textId="77777777" w:rsidR="00DA1D58" w:rsidRPr="00A27724" w:rsidRDefault="00DA1D58" w:rsidP="00DA1D5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27724">
        <w:rPr>
          <w:rFonts w:ascii="Arial" w:hAnsi="Arial" w:cs="Arial"/>
          <w:b/>
          <w:bCs/>
        </w:rPr>
        <w:t xml:space="preserve">Materia prima: </w:t>
      </w:r>
      <w:r w:rsidRPr="00A27724">
        <w:rPr>
          <w:rFonts w:ascii="Arial" w:hAnsi="Arial" w:cs="Arial"/>
        </w:rPr>
        <w:t>Toda sustancia, activa o inactiva, empleada en la fabricación de un medicamento, aun cuando permanezca inalterada, se modifique o desaparezca en el transcurso del proceso. (Formulario Iberoamericano de Buenas Prácticas de Elaboración y Control de Calidad de Preparaciones Magistrales y Oficinales, 2014)</w:t>
      </w:r>
    </w:p>
    <w:p w14:paraId="740F2CE2" w14:textId="77777777" w:rsidR="00AB2735" w:rsidRPr="007F6CDE" w:rsidRDefault="00AB2735" w:rsidP="00BF35A7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6EFC4D27" w14:textId="77777777" w:rsidR="00DA1D58" w:rsidRDefault="00DA1D58" w:rsidP="00DA1D5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94B77">
        <w:rPr>
          <w:rFonts w:ascii="Arial" w:hAnsi="Arial" w:cs="Arial"/>
          <w:b/>
          <w:bCs/>
        </w:rPr>
        <w:t>Calificación:</w:t>
      </w:r>
      <w:r w:rsidRPr="00F94B77">
        <w:t xml:space="preserve"> </w:t>
      </w:r>
      <w:r w:rsidRPr="00F94B77">
        <w:rPr>
          <w:rFonts w:ascii="Arial" w:hAnsi="Arial" w:cs="Arial"/>
        </w:rPr>
        <w:t>acción de demostrar y documentar que el equipo o los sistemas auxiliares están correctamente instalados, trabajan y conducen realmente a los resultados esperados.</w:t>
      </w:r>
      <w:r>
        <w:rPr>
          <w:rFonts w:ascii="Arial" w:hAnsi="Arial" w:cs="Arial"/>
        </w:rPr>
        <w:t xml:space="preserve"> </w:t>
      </w:r>
    </w:p>
    <w:p w14:paraId="1500508A" w14:textId="77777777" w:rsidR="00815462" w:rsidRPr="007F6CDE" w:rsidRDefault="00815462" w:rsidP="00BF35A7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1FEAE232" w14:textId="05BB316E" w:rsidR="00F40A01" w:rsidRDefault="00F40A01" w:rsidP="00A277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27724">
        <w:rPr>
          <w:rFonts w:ascii="Arial" w:hAnsi="Arial" w:cs="Arial"/>
          <w:b/>
          <w:bCs/>
        </w:rPr>
        <w:t>Certificado de análisis:</w:t>
      </w:r>
      <w:r w:rsidRPr="00A27724">
        <w:rPr>
          <w:rFonts w:ascii="Arial" w:hAnsi="Arial" w:cs="Arial"/>
        </w:rPr>
        <w:t xml:space="preserve"> </w:t>
      </w:r>
      <w:r w:rsidR="00A27724" w:rsidRPr="00A27724">
        <w:rPr>
          <w:rFonts w:ascii="Arial" w:hAnsi="Arial" w:cs="Arial"/>
        </w:rPr>
        <w:t>documento que proporciona un resumen de los resultados de los</w:t>
      </w:r>
      <w:r w:rsidR="00A27724">
        <w:rPr>
          <w:rFonts w:ascii="Arial" w:hAnsi="Arial" w:cs="Arial"/>
        </w:rPr>
        <w:t xml:space="preserve"> </w:t>
      </w:r>
      <w:r w:rsidR="00A27724" w:rsidRPr="00A27724">
        <w:rPr>
          <w:rFonts w:ascii="Arial" w:hAnsi="Arial" w:cs="Arial"/>
        </w:rPr>
        <w:t>análisis de muestras de productos o materiales junto con la evaluación del cumplimiento de una</w:t>
      </w:r>
      <w:r w:rsidR="00A27724">
        <w:rPr>
          <w:rFonts w:ascii="Arial" w:hAnsi="Arial" w:cs="Arial"/>
        </w:rPr>
        <w:t xml:space="preserve"> </w:t>
      </w:r>
      <w:r w:rsidR="00A27724" w:rsidRPr="00A27724">
        <w:rPr>
          <w:rFonts w:ascii="Arial" w:hAnsi="Arial" w:cs="Arial"/>
        </w:rPr>
        <w:t>determinada especificación</w:t>
      </w:r>
      <w:r w:rsidR="00030CDC">
        <w:rPr>
          <w:rFonts w:ascii="Arial" w:hAnsi="Arial" w:cs="Arial"/>
        </w:rPr>
        <w:t>. (Decreto N° 38732, 2014)</w:t>
      </w:r>
    </w:p>
    <w:p w14:paraId="10F46618" w14:textId="63FC3C97" w:rsidR="00F40A01" w:rsidRDefault="00F40A01" w:rsidP="00F40A0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EAD59F3" w14:textId="63A290F4" w:rsidR="00F40A01" w:rsidRDefault="00F40A01" w:rsidP="00F40A0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40A01">
        <w:rPr>
          <w:rFonts w:ascii="Arial" w:hAnsi="Arial" w:cs="Arial"/>
          <w:b/>
          <w:bCs/>
        </w:rPr>
        <w:t>Contaminación cruzada:</w:t>
      </w:r>
      <w:r w:rsidRPr="00F40A01">
        <w:rPr>
          <w:rFonts w:ascii="Arial" w:hAnsi="Arial" w:cs="Arial"/>
        </w:rPr>
        <w:t xml:space="preserve"> contaminación de un material o de un producto semielaborado o de un producto terminado con otro material o producto durante el proceso de producción.</w:t>
      </w:r>
      <w:r w:rsidR="00030CDC" w:rsidRPr="00030CDC">
        <w:rPr>
          <w:rFonts w:ascii="Arial" w:hAnsi="Arial" w:cs="Arial"/>
        </w:rPr>
        <w:t xml:space="preserve"> </w:t>
      </w:r>
      <w:r w:rsidR="00030CDC">
        <w:rPr>
          <w:rFonts w:ascii="Arial" w:hAnsi="Arial" w:cs="Arial"/>
        </w:rPr>
        <w:t>(Decreto N° 38732, 2014)</w:t>
      </w:r>
    </w:p>
    <w:p w14:paraId="0690C689" w14:textId="77777777" w:rsidR="00F40A01" w:rsidRDefault="00F40A01" w:rsidP="00F40A0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AFD569A" w14:textId="0BBB67A8" w:rsidR="00F40A01" w:rsidRDefault="00F40A01" w:rsidP="00F40A0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27724">
        <w:rPr>
          <w:rFonts w:ascii="Arial" w:hAnsi="Arial" w:cs="Arial"/>
          <w:b/>
          <w:bCs/>
        </w:rPr>
        <w:t>Esclusa:</w:t>
      </w:r>
      <w:r w:rsidRPr="00A27724">
        <w:rPr>
          <w:rFonts w:ascii="Arial" w:hAnsi="Arial" w:cs="Arial"/>
        </w:rPr>
        <w:t xml:space="preserve"> espacio cerrado con dos o más puertas, interpuesto entre dos o más salas de distinto nivel de limpieza, con el fin de controlar la circulación de aire entre ellas cuando se accede a </w:t>
      </w:r>
      <w:r w:rsidR="0038695C" w:rsidRPr="00A27724">
        <w:rPr>
          <w:rFonts w:ascii="Arial" w:hAnsi="Arial" w:cs="Arial"/>
        </w:rPr>
        <w:t>estas</w:t>
      </w:r>
      <w:r w:rsidRPr="00A27724">
        <w:rPr>
          <w:rFonts w:ascii="Arial" w:hAnsi="Arial" w:cs="Arial"/>
        </w:rPr>
        <w:t>. Las esclusas se diseñan para su uso por personas o por objetos.</w:t>
      </w:r>
      <w:r w:rsidR="00A27724">
        <w:rPr>
          <w:rFonts w:ascii="Arial" w:hAnsi="Arial" w:cs="Arial"/>
        </w:rPr>
        <w:t xml:space="preserve"> </w:t>
      </w:r>
    </w:p>
    <w:p w14:paraId="33F0080B" w14:textId="77777777" w:rsidR="00F40A01" w:rsidRDefault="00F40A01" w:rsidP="00F40A0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1A716D62" w14:textId="793E0C71" w:rsidR="00F40A01" w:rsidRPr="00281FF4" w:rsidRDefault="00F40A01" w:rsidP="00A277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81FF4">
        <w:rPr>
          <w:rFonts w:ascii="Arial" w:hAnsi="Arial" w:cs="Arial"/>
          <w:b/>
          <w:bCs/>
        </w:rPr>
        <w:t xml:space="preserve">Especificaciones: </w:t>
      </w:r>
      <w:r w:rsidRPr="00281FF4">
        <w:rPr>
          <w:rFonts w:ascii="Arial" w:hAnsi="Arial" w:cs="Arial"/>
        </w:rPr>
        <w:t>documento que describe de forma detallada los requisitos que tienen que cumplir los productos o materiales utilizados u obtenidos durante la preparación. Sirven como base de la evaluación de la calidad.</w:t>
      </w:r>
      <w:r w:rsidR="00A27724">
        <w:rPr>
          <w:rFonts w:ascii="Arial" w:hAnsi="Arial" w:cs="Arial"/>
        </w:rPr>
        <w:t xml:space="preserve"> </w:t>
      </w:r>
    </w:p>
    <w:p w14:paraId="0C7E04D9" w14:textId="77777777" w:rsidR="00F40A01" w:rsidRDefault="00F40A01" w:rsidP="00F40A0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598CADCE" w14:textId="77777777" w:rsidR="00F40A01" w:rsidRPr="00A27724" w:rsidRDefault="00F40A01" w:rsidP="00F40A0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C2C85">
        <w:rPr>
          <w:rFonts w:ascii="Arial" w:hAnsi="Arial" w:cs="Arial"/>
          <w:b/>
          <w:bCs/>
        </w:rPr>
        <w:t>Plazo de validez</w:t>
      </w:r>
      <w:r>
        <w:rPr>
          <w:rFonts w:ascii="Arial" w:hAnsi="Arial" w:cs="Arial"/>
          <w:b/>
          <w:bCs/>
        </w:rPr>
        <w:t>:</w:t>
      </w:r>
      <w:r w:rsidRPr="00DC2C85">
        <w:rPr>
          <w:rFonts w:ascii="Arial" w:hAnsi="Arial" w:cs="Arial"/>
        </w:rPr>
        <w:t xml:space="preserve"> Intervalo de tiempo durante el cual, en las condiciones de almacenamiento y conservación establecidas por el </w:t>
      </w:r>
      <w:r>
        <w:rPr>
          <w:rFonts w:ascii="Arial" w:hAnsi="Arial" w:cs="Arial"/>
        </w:rPr>
        <w:t xml:space="preserve">profesional </w:t>
      </w:r>
      <w:r w:rsidRPr="00DC2C85">
        <w:rPr>
          <w:rFonts w:ascii="Arial" w:hAnsi="Arial" w:cs="Arial"/>
        </w:rPr>
        <w:t xml:space="preserve">farmacéutico, un preparado magistral u oficinal </w:t>
      </w:r>
      <w:r w:rsidRPr="00DC2C85">
        <w:rPr>
          <w:rFonts w:ascii="Arial" w:hAnsi="Arial" w:cs="Arial"/>
        </w:rPr>
        <w:lastRenderedPageBreak/>
        <w:t>puede ser utilizado.</w:t>
      </w:r>
      <w:r>
        <w:rPr>
          <w:rFonts w:ascii="Arial" w:hAnsi="Arial" w:cs="Arial"/>
        </w:rPr>
        <w:t xml:space="preserve"> </w:t>
      </w:r>
      <w:r w:rsidRPr="00A27724">
        <w:rPr>
          <w:rFonts w:ascii="Arial" w:hAnsi="Arial" w:cs="Arial"/>
        </w:rPr>
        <w:t>(Formulario Iberoamericano de Buenas Prácticas de Elaboración y Control de Calidad de Preparaciones Magistrales y Oficinales, 2014)</w:t>
      </w:r>
    </w:p>
    <w:p w14:paraId="04F4A1CA" w14:textId="77777777" w:rsidR="00F40A01" w:rsidRDefault="00F40A01" w:rsidP="00F40A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D382567" w14:textId="04C036EE" w:rsidR="00080A80" w:rsidRDefault="00F40A01" w:rsidP="00F40A01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  <w:r w:rsidRPr="00921748">
        <w:rPr>
          <w:rFonts w:ascii="Arial" w:hAnsi="Arial" w:cs="Arial"/>
          <w:b/>
          <w:bCs/>
          <w:color w:val="FF0000"/>
        </w:rPr>
        <w:t>[Agregar cualquier otra definición de relevancia que se considere necesaria para el p</w:t>
      </w:r>
      <w:r>
        <w:rPr>
          <w:rFonts w:ascii="Arial" w:hAnsi="Arial" w:cs="Arial"/>
          <w:b/>
          <w:bCs/>
          <w:color w:val="FF0000"/>
        </w:rPr>
        <w:t>ro</w:t>
      </w:r>
      <w:r w:rsidR="00E37CAE">
        <w:rPr>
          <w:rFonts w:ascii="Arial" w:hAnsi="Arial" w:cs="Arial"/>
          <w:b/>
          <w:bCs/>
          <w:color w:val="FF0000"/>
        </w:rPr>
        <w:t>cedimiento</w:t>
      </w:r>
      <w:r w:rsidRPr="00921748">
        <w:rPr>
          <w:rFonts w:ascii="Arial" w:hAnsi="Arial" w:cs="Arial"/>
          <w:b/>
          <w:bCs/>
          <w:color w:val="FF0000"/>
        </w:rPr>
        <w:t>]</w:t>
      </w:r>
    </w:p>
    <w:p w14:paraId="5B1244B7" w14:textId="77777777" w:rsidR="00A27724" w:rsidRPr="007F6CDE" w:rsidRDefault="00A27724" w:rsidP="00F40A01">
      <w:pPr>
        <w:spacing w:after="0" w:line="276" w:lineRule="auto"/>
        <w:jc w:val="both"/>
        <w:rPr>
          <w:rFonts w:ascii="Arial" w:eastAsia="Times New Roman" w:hAnsi="Arial" w:cs="Arial"/>
          <w:b/>
          <w:lang w:val="es-CR" w:eastAsia="es-ES"/>
        </w:rPr>
      </w:pPr>
    </w:p>
    <w:p w14:paraId="2DFFAF2B" w14:textId="77777777" w:rsidR="007B5047" w:rsidRPr="00ED2748" w:rsidRDefault="007B5047" w:rsidP="00ED2748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Equipo y materiales</w:t>
      </w:r>
    </w:p>
    <w:p w14:paraId="3F52B2F5" w14:textId="1FED94EA" w:rsidR="00AD2FAE" w:rsidRDefault="00AD2FAE" w:rsidP="00AD2FAE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921748">
        <w:rPr>
          <w:rFonts w:ascii="Arial" w:hAnsi="Arial" w:cs="Arial"/>
          <w:b/>
          <w:bCs/>
          <w:color w:val="FF0000"/>
        </w:rPr>
        <w:t>[</w:t>
      </w:r>
      <w:r w:rsidR="00B80529">
        <w:rPr>
          <w:rFonts w:ascii="Arial" w:hAnsi="Arial" w:cs="Arial"/>
          <w:b/>
          <w:bCs/>
          <w:color w:val="FF0000"/>
        </w:rPr>
        <w:t>Indicar</w:t>
      </w:r>
      <w:r w:rsidRPr="00921748">
        <w:rPr>
          <w:rFonts w:ascii="Arial" w:hAnsi="Arial" w:cs="Arial"/>
          <w:b/>
          <w:bCs/>
          <w:color w:val="FF0000"/>
        </w:rPr>
        <w:t xml:space="preserve"> los equipos </w:t>
      </w:r>
      <w:r>
        <w:rPr>
          <w:rFonts w:ascii="Arial" w:hAnsi="Arial" w:cs="Arial"/>
          <w:b/>
          <w:bCs/>
          <w:color w:val="FF0000"/>
        </w:rPr>
        <w:t xml:space="preserve">y materiales </w:t>
      </w:r>
      <w:r w:rsidRPr="00921748">
        <w:rPr>
          <w:rFonts w:ascii="Arial" w:hAnsi="Arial" w:cs="Arial"/>
          <w:b/>
          <w:bCs/>
          <w:color w:val="FF0000"/>
        </w:rPr>
        <w:t>necesarios para el correcto y completo cumplimiento del pro</w:t>
      </w:r>
      <w:r w:rsidR="00E37CAE">
        <w:rPr>
          <w:rFonts w:ascii="Arial" w:hAnsi="Arial" w:cs="Arial"/>
          <w:b/>
          <w:bCs/>
          <w:color w:val="FF0000"/>
        </w:rPr>
        <w:t>cedimiento</w:t>
      </w:r>
      <w:r w:rsidRPr="00921748">
        <w:rPr>
          <w:rFonts w:ascii="Arial" w:hAnsi="Arial" w:cs="Arial"/>
          <w:b/>
          <w:bCs/>
          <w:color w:val="FF0000"/>
        </w:rPr>
        <w:t xml:space="preserve"> en el establecimiento,</w:t>
      </w:r>
      <w:r>
        <w:rPr>
          <w:rFonts w:ascii="Arial" w:hAnsi="Arial" w:cs="Arial"/>
          <w:b/>
          <w:bCs/>
          <w:color w:val="FF0000"/>
        </w:rPr>
        <w:t xml:space="preserve"> de acuerdo </w:t>
      </w:r>
      <w:r w:rsidRPr="00B80529">
        <w:rPr>
          <w:rFonts w:ascii="Arial" w:hAnsi="Arial" w:cs="Arial"/>
          <w:b/>
          <w:bCs/>
          <w:color w:val="FF0000"/>
        </w:rPr>
        <w:t>con</w:t>
      </w:r>
      <w:r>
        <w:rPr>
          <w:rFonts w:ascii="Arial" w:hAnsi="Arial" w:cs="Arial"/>
          <w:b/>
          <w:bCs/>
          <w:color w:val="FF0000"/>
        </w:rPr>
        <w:t xml:space="preserve"> las preparaciones que se realizan,</w:t>
      </w:r>
      <w:r w:rsidRPr="00921748">
        <w:rPr>
          <w:rFonts w:ascii="Arial" w:hAnsi="Arial" w:cs="Arial"/>
          <w:b/>
          <w:bCs/>
          <w:color w:val="FF0000"/>
        </w:rPr>
        <w:t xml:space="preserve"> por ejemplo: mortero, pistilo, balanza, espátula, equipo volumétrico (especificar), libro oficial (especificar cuál), computadora, software (especificar cuál), cajas plásticas, cinta adhesiva, etiquetas, entre otros.]</w:t>
      </w:r>
    </w:p>
    <w:p w14:paraId="261FC8BA" w14:textId="2C0B3343" w:rsidR="00AD2FAE" w:rsidRPr="00E93D36" w:rsidRDefault="00AD2FAE" w:rsidP="00AD2FAE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 [Equipamiento general mínimo: </w:t>
      </w:r>
    </w:p>
    <w:p w14:paraId="2C643F18" w14:textId="5DAFCAE4" w:rsidR="00AD2FAE" w:rsidRPr="00B80529" w:rsidRDefault="00AD2FAE" w:rsidP="00AD2FA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color w:val="FF0000"/>
        </w:rPr>
      </w:pPr>
      <w:r w:rsidRPr="00B80529">
        <w:rPr>
          <w:rFonts w:ascii="Arial" w:hAnsi="Arial" w:cs="Arial"/>
          <w:b/>
          <w:color w:val="FF0000"/>
        </w:rPr>
        <w:t xml:space="preserve">Balanza con precisión de 1 mg, calibrada como mínimo una vez al año o con mayor frecuencia. La frecuencia de la calibración se debe establecer tomando en cuenta la frecuencia de uso, el tipo de preparaciones en las que está involucrada y el riesgo relacionado. La capacidad y sensibilidad de la balanza deberá ser compatible con las cantidades a ser pesadas. </w:t>
      </w:r>
    </w:p>
    <w:p w14:paraId="1CD5460D" w14:textId="77777777" w:rsidR="00AD2FAE" w:rsidRPr="00E93D36" w:rsidRDefault="00AD2FAE" w:rsidP="00AD2FA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>Aparatos de medida de volumen de 0,5 ml hasta 500 ml (matraces aforados de distintas capacidades, probetas, pipetas, e</w:t>
      </w:r>
      <w:r>
        <w:rPr>
          <w:rFonts w:ascii="Arial" w:hAnsi="Arial" w:cs="Arial"/>
          <w:b/>
          <w:color w:val="FF0000"/>
        </w:rPr>
        <w:t>ntre otros)</w:t>
      </w:r>
      <w:r w:rsidRPr="00E93D36">
        <w:rPr>
          <w:rFonts w:ascii="Arial" w:hAnsi="Arial" w:cs="Arial"/>
          <w:b/>
          <w:color w:val="FF0000"/>
        </w:rPr>
        <w:t xml:space="preserve">. </w:t>
      </w:r>
      <w:r>
        <w:rPr>
          <w:rFonts w:ascii="Arial" w:hAnsi="Arial" w:cs="Arial"/>
          <w:b/>
          <w:color w:val="FF0000"/>
        </w:rPr>
        <w:t xml:space="preserve">Estos </w:t>
      </w:r>
      <w:r w:rsidRPr="00FE273E">
        <w:rPr>
          <w:rFonts w:ascii="Arial" w:hAnsi="Arial" w:cs="Arial"/>
          <w:b/>
          <w:color w:val="FF0000"/>
        </w:rPr>
        <w:t>deben tener la precisión requerida.</w:t>
      </w:r>
    </w:p>
    <w:p w14:paraId="3CED1B64" w14:textId="77777777" w:rsidR="00AD2FAE" w:rsidRPr="00E93D36" w:rsidRDefault="00AD2FAE" w:rsidP="00AD2FA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Mortero de vidrio o porcelana. </w:t>
      </w:r>
    </w:p>
    <w:p w14:paraId="6F40ADC8" w14:textId="77777777" w:rsidR="00AD2FAE" w:rsidRPr="00E93D36" w:rsidRDefault="00AD2FAE" w:rsidP="00AD2FA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>Sistema de baño de agua</w:t>
      </w:r>
      <w:r>
        <w:rPr>
          <w:rFonts w:ascii="Arial" w:hAnsi="Arial" w:cs="Arial"/>
          <w:b/>
          <w:color w:val="FF0000"/>
        </w:rPr>
        <w:t xml:space="preserve"> (baño maría)</w:t>
      </w:r>
      <w:r w:rsidRPr="00E93D36">
        <w:rPr>
          <w:rFonts w:ascii="Arial" w:hAnsi="Arial" w:cs="Arial"/>
          <w:b/>
          <w:color w:val="FF0000"/>
        </w:rPr>
        <w:t xml:space="preserve">. </w:t>
      </w:r>
    </w:p>
    <w:p w14:paraId="1F57C56C" w14:textId="77777777" w:rsidR="00AD2FAE" w:rsidRPr="00E93D36" w:rsidRDefault="00AD2FAE" w:rsidP="00AD2FA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Agitador. </w:t>
      </w:r>
    </w:p>
    <w:p w14:paraId="053D8C24" w14:textId="77777777" w:rsidR="00AD2FAE" w:rsidRPr="00E93D36" w:rsidRDefault="00AD2FAE" w:rsidP="00AD2FA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Espátulas de metal y de goma. </w:t>
      </w:r>
    </w:p>
    <w:p w14:paraId="2535F4A1" w14:textId="77777777" w:rsidR="00AD2FAE" w:rsidRPr="00E93D36" w:rsidRDefault="00AD2FAE" w:rsidP="00AD2FAE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Termómetro. </w:t>
      </w:r>
    </w:p>
    <w:p w14:paraId="21F69D21" w14:textId="77777777" w:rsidR="00AD2FAE" w:rsidRPr="00E93D36" w:rsidRDefault="00AD2FAE" w:rsidP="00AD2FA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>Material de vidrio diverso (vasos de precipitados</w:t>
      </w:r>
      <w:r>
        <w:rPr>
          <w:rFonts w:ascii="Arial" w:hAnsi="Arial" w:cs="Arial"/>
          <w:b/>
          <w:color w:val="FF0000"/>
        </w:rPr>
        <w:t xml:space="preserve"> (beaker)</w:t>
      </w:r>
      <w:r w:rsidRPr="00E93D36">
        <w:rPr>
          <w:rFonts w:ascii="Arial" w:hAnsi="Arial" w:cs="Arial"/>
          <w:b/>
          <w:color w:val="FF0000"/>
        </w:rPr>
        <w:t>, matraces cónicos</w:t>
      </w:r>
      <w:r>
        <w:rPr>
          <w:rFonts w:ascii="Arial" w:hAnsi="Arial" w:cs="Arial"/>
          <w:b/>
          <w:color w:val="FF0000"/>
        </w:rPr>
        <w:t xml:space="preserve"> (Erlenmeyer)</w:t>
      </w:r>
      <w:r w:rsidRPr="00E93D36">
        <w:rPr>
          <w:rFonts w:ascii="Arial" w:hAnsi="Arial" w:cs="Arial"/>
          <w:b/>
          <w:color w:val="FF0000"/>
        </w:rPr>
        <w:t xml:space="preserve">, embudos, vidrio de reloj, </w:t>
      </w:r>
      <w:r>
        <w:rPr>
          <w:rFonts w:ascii="Arial" w:hAnsi="Arial" w:cs="Arial"/>
          <w:b/>
          <w:color w:val="FF0000"/>
        </w:rPr>
        <w:t>entre otros</w:t>
      </w:r>
      <w:r w:rsidRPr="00E93D36">
        <w:rPr>
          <w:rFonts w:ascii="Arial" w:hAnsi="Arial" w:cs="Arial"/>
          <w:b/>
          <w:color w:val="FF0000"/>
        </w:rPr>
        <w:t xml:space="preserve">). </w:t>
      </w:r>
    </w:p>
    <w:p w14:paraId="0CF6D043" w14:textId="77777777" w:rsidR="00AD2FAE" w:rsidRPr="00E93D36" w:rsidRDefault="00AD2FAE" w:rsidP="00AD2FA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Lente de aumento (lupa). </w:t>
      </w:r>
    </w:p>
    <w:p w14:paraId="73A04293" w14:textId="77777777" w:rsidR="00AD2FAE" w:rsidRPr="00E93D36" w:rsidRDefault="00AD2FAE" w:rsidP="00AD2FAE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>Sistema de producción de calor</w:t>
      </w:r>
      <w:r>
        <w:rPr>
          <w:rFonts w:ascii="Arial" w:hAnsi="Arial" w:cs="Arial"/>
          <w:b/>
          <w:color w:val="FF0000"/>
        </w:rPr>
        <w:t xml:space="preserve"> (plantilla, mechero, entre otros)</w:t>
      </w:r>
      <w:r w:rsidRPr="00E93D36">
        <w:rPr>
          <w:rFonts w:ascii="Arial" w:hAnsi="Arial" w:cs="Arial"/>
          <w:b/>
          <w:color w:val="FF0000"/>
        </w:rPr>
        <w:t xml:space="preserve">. </w:t>
      </w:r>
    </w:p>
    <w:p w14:paraId="6626EFFF" w14:textId="77777777" w:rsidR="00AD2FAE" w:rsidRDefault="00AD2FAE" w:rsidP="00AD2FAE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>Equipamiento específico</w:t>
      </w:r>
    </w:p>
    <w:p w14:paraId="7ED1E75E" w14:textId="77777777" w:rsidR="00AD2FAE" w:rsidRPr="00E93D36" w:rsidRDefault="00AD2FAE" w:rsidP="00AD2FAE">
      <w:pPr>
        <w:spacing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</w:t>
      </w:r>
      <w:r w:rsidRPr="00E93D36">
        <w:rPr>
          <w:rFonts w:ascii="Arial" w:hAnsi="Arial" w:cs="Arial"/>
          <w:b/>
          <w:color w:val="FF0000"/>
        </w:rPr>
        <w:t>egún la forma farmacéutica y tipo de preparación</w:t>
      </w:r>
      <w:r>
        <w:rPr>
          <w:rFonts w:ascii="Arial" w:hAnsi="Arial" w:cs="Arial"/>
          <w:b/>
          <w:color w:val="FF0000"/>
        </w:rPr>
        <w:t>, se debe contar con el necesario:</w:t>
      </w:r>
      <w:r w:rsidRPr="00E93D36">
        <w:rPr>
          <w:rFonts w:ascii="Arial" w:hAnsi="Arial" w:cs="Arial"/>
          <w:b/>
          <w:color w:val="FF0000"/>
        </w:rPr>
        <w:t xml:space="preserve"> </w:t>
      </w:r>
    </w:p>
    <w:p w14:paraId="55A60A44" w14:textId="77777777" w:rsidR="00AD2FAE" w:rsidRPr="00E93D36" w:rsidRDefault="00AD2FAE" w:rsidP="00AD2FAE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Tamices para polvo grueso, fino y muy fino. </w:t>
      </w:r>
    </w:p>
    <w:p w14:paraId="5DE4BC20" w14:textId="77777777" w:rsidR="00AD2FAE" w:rsidRPr="00E93D36" w:rsidRDefault="00AD2FAE" w:rsidP="00AD2FAE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lastRenderedPageBreak/>
        <w:t xml:space="preserve">Sistema para determinar el pH. </w:t>
      </w:r>
    </w:p>
    <w:p w14:paraId="2B120745" w14:textId="77777777" w:rsidR="00AD2FAE" w:rsidRPr="00E93D36" w:rsidRDefault="00AD2FAE" w:rsidP="00AD2FAE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Sistema para medir el punto de fusión. </w:t>
      </w:r>
    </w:p>
    <w:p w14:paraId="6DADAE44" w14:textId="77777777" w:rsidR="00AD2FAE" w:rsidRDefault="00AD2FAE" w:rsidP="00AD2FAE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>Si se elaboran cápsulas</w:t>
      </w:r>
      <w:r>
        <w:rPr>
          <w:rFonts w:ascii="Arial" w:hAnsi="Arial" w:cs="Arial"/>
          <w:b/>
          <w:color w:val="FF0000"/>
        </w:rPr>
        <w:t xml:space="preserve"> </w:t>
      </w:r>
      <w:r w:rsidRPr="00E93D36">
        <w:rPr>
          <w:rFonts w:ascii="Arial" w:hAnsi="Arial" w:cs="Arial"/>
          <w:b/>
          <w:color w:val="FF0000"/>
        </w:rPr>
        <w:t>se dispondrá de, al menos, una capsuladora</w:t>
      </w:r>
      <w:r>
        <w:rPr>
          <w:rFonts w:ascii="Arial" w:hAnsi="Arial" w:cs="Arial"/>
          <w:b/>
          <w:color w:val="FF0000"/>
        </w:rPr>
        <w:t xml:space="preserve"> </w:t>
      </w:r>
      <w:r w:rsidRPr="00E93D36">
        <w:rPr>
          <w:rFonts w:ascii="Arial" w:hAnsi="Arial" w:cs="Arial"/>
          <w:b/>
          <w:color w:val="FF0000"/>
        </w:rPr>
        <w:t>con un juego completo de placas.</w:t>
      </w:r>
      <w:r>
        <w:rPr>
          <w:rFonts w:ascii="Arial" w:hAnsi="Arial" w:cs="Arial"/>
          <w:b/>
          <w:color w:val="FF0000"/>
        </w:rPr>
        <w:t xml:space="preserve"> </w:t>
      </w:r>
    </w:p>
    <w:p w14:paraId="3B035C7E" w14:textId="77777777" w:rsidR="00AD2FAE" w:rsidRDefault="00AD2FAE" w:rsidP="00AD2FAE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Si se elaboran </w:t>
      </w:r>
      <w:r>
        <w:rPr>
          <w:rFonts w:ascii="Arial" w:hAnsi="Arial" w:cs="Arial"/>
          <w:b/>
          <w:color w:val="FF0000"/>
        </w:rPr>
        <w:t>tabletas</w:t>
      </w:r>
      <w:r w:rsidRPr="00E93D36">
        <w:rPr>
          <w:rFonts w:ascii="Arial" w:hAnsi="Arial" w:cs="Arial"/>
          <w:b/>
          <w:color w:val="FF0000"/>
        </w:rPr>
        <w:t xml:space="preserve"> se dispondrá de, al menos, una </w:t>
      </w:r>
      <w:r>
        <w:rPr>
          <w:rFonts w:ascii="Arial" w:hAnsi="Arial" w:cs="Arial"/>
          <w:b/>
          <w:color w:val="FF0000"/>
        </w:rPr>
        <w:t xml:space="preserve">tableteadora </w:t>
      </w:r>
      <w:r w:rsidRPr="00E93D36">
        <w:rPr>
          <w:rFonts w:ascii="Arial" w:hAnsi="Arial" w:cs="Arial"/>
          <w:b/>
          <w:color w:val="FF0000"/>
        </w:rPr>
        <w:t xml:space="preserve">con un juego completo de </w:t>
      </w:r>
      <w:r>
        <w:rPr>
          <w:rFonts w:ascii="Arial" w:hAnsi="Arial" w:cs="Arial"/>
          <w:b/>
          <w:color w:val="FF0000"/>
        </w:rPr>
        <w:t>punzones</w:t>
      </w:r>
      <w:r w:rsidRPr="00E93D36">
        <w:rPr>
          <w:rFonts w:ascii="Arial" w:hAnsi="Arial" w:cs="Arial"/>
          <w:b/>
          <w:color w:val="FF0000"/>
        </w:rPr>
        <w:t>.</w:t>
      </w:r>
      <w:r>
        <w:rPr>
          <w:rFonts w:ascii="Arial" w:hAnsi="Arial" w:cs="Arial"/>
          <w:b/>
          <w:color w:val="FF0000"/>
        </w:rPr>
        <w:t>]</w:t>
      </w:r>
    </w:p>
    <w:p w14:paraId="0B0015EF" w14:textId="77777777" w:rsidR="00AD2FAE" w:rsidRPr="002B181D" w:rsidRDefault="00AD2FAE" w:rsidP="00AD2FAE">
      <w:pPr>
        <w:spacing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[Cualquier maquinaria que se utilice para el encapsulado o tableteado de medicamentos es controlada por el Instituto Costarricense sobre Drogas (ICD), así establecido en el artículo 36 de la “</w:t>
      </w:r>
      <w:r w:rsidRPr="00EF5A10">
        <w:rPr>
          <w:rFonts w:ascii="Arial" w:hAnsi="Arial" w:cs="Arial"/>
          <w:b/>
          <w:i/>
          <w:iCs/>
          <w:color w:val="FF0000"/>
        </w:rPr>
        <w:t>Ley sobre estupefacientes, sustancias psicotrópicas, drogas de uso no autorizado, actividades conexas, legitimación de capitales y financiamiento al terrorismo</w:t>
      </w:r>
      <w:r>
        <w:rPr>
          <w:rFonts w:ascii="Arial" w:hAnsi="Arial" w:cs="Arial"/>
          <w:b/>
          <w:color w:val="FF0000"/>
        </w:rPr>
        <w:t>”,</w:t>
      </w:r>
      <w:r w:rsidRPr="00B42F1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ley N°. 8204 y el artículo 121 del “</w:t>
      </w:r>
      <w:r w:rsidRPr="00EF5A10">
        <w:rPr>
          <w:rFonts w:ascii="Arial" w:hAnsi="Arial" w:cs="Arial"/>
          <w:b/>
          <w:i/>
          <w:iCs/>
          <w:color w:val="FF0000"/>
        </w:rPr>
        <w:t>Reglamento general sobre legislación contra el narcotráfico, actividades conexas, legitimación de capitales, financiamiento al terrorismo y delincuencia organizada</w:t>
      </w:r>
      <w:r>
        <w:rPr>
          <w:rFonts w:ascii="Arial" w:hAnsi="Arial" w:cs="Arial"/>
          <w:b/>
          <w:color w:val="FF0000"/>
        </w:rPr>
        <w:t>”,</w:t>
      </w:r>
      <w:r w:rsidRPr="00B42F1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decreto N° 36948-MP-SP-JP-H-S, se debe proceder con el trámite correspondiente ante el ICD, se puede encontrar más información al respecto en la dirección: </w:t>
      </w:r>
      <w:hyperlink r:id="rId8" w:history="1">
        <w:r w:rsidRPr="00170C00">
          <w:rPr>
            <w:rStyle w:val="Hyperlink"/>
            <w:rFonts w:ascii="Arial" w:hAnsi="Arial" w:cs="Arial"/>
            <w:b/>
          </w:rPr>
          <w:t>http://www.icd.go.cr/portalicd/index.php/dj-sanjose/tcj-sanjose-gj/73-fhatillo-3sj</w:t>
        </w:r>
      </w:hyperlink>
      <w:r>
        <w:rPr>
          <w:rFonts w:ascii="Arial" w:hAnsi="Arial" w:cs="Arial"/>
          <w:b/>
          <w:color w:val="FF0000"/>
        </w:rPr>
        <w:t xml:space="preserve"> </w:t>
      </w:r>
      <w:r w:rsidRPr="00921748">
        <w:rPr>
          <w:rFonts w:ascii="Arial" w:hAnsi="Arial" w:cs="Arial"/>
          <w:b/>
          <w:bCs/>
          <w:color w:val="FF0000"/>
        </w:rPr>
        <w:t>]</w:t>
      </w:r>
    </w:p>
    <w:p w14:paraId="1D56223B" w14:textId="77777777" w:rsidR="00AD2FAE" w:rsidRPr="00E93D36" w:rsidRDefault="00AD2FAE" w:rsidP="00AD2FAE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[</w:t>
      </w:r>
      <w:r w:rsidRPr="00E93D36">
        <w:rPr>
          <w:rFonts w:ascii="Arial" w:hAnsi="Arial" w:cs="Arial"/>
          <w:b/>
          <w:color w:val="FF0000"/>
        </w:rPr>
        <w:t xml:space="preserve">Si se elaboran óvulos o supositorios, se deberá disponer de los correspondientes moldes. </w:t>
      </w:r>
    </w:p>
    <w:p w14:paraId="0C6BF1F3" w14:textId="77777777" w:rsidR="00AD2FAE" w:rsidRPr="00E93D36" w:rsidRDefault="00AD2FAE" w:rsidP="00AD2FAE">
      <w:p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</w:t>
      </w:r>
      <w:r w:rsidRPr="00E93D36">
        <w:rPr>
          <w:rFonts w:ascii="Arial" w:hAnsi="Arial" w:cs="Arial"/>
          <w:b/>
          <w:color w:val="FF0000"/>
        </w:rPr>
        <w:t xml:space="preserve">i se </w:t>
      </w:r>
      <w:r w:rsidRPr="00EF00D7">
        <w:rPr>
          <w:rFonts w:ascii="Arial" w:hAnsi="Arial" w:cs="Arial"/>
          <w:b/>
          <w:color w:val="FF0000"/>
        </w:rPr>
        <w:t xml:space="preserve">elaboran </w:t>
      </w:r>
      <w:r w:rsidRPr="00B80529">
        <w:rPr>
          <w:rFonts w:ascii="Arial" w:hAnsi="Arial" w:cs="Arial"/>
          <w:b/>
          <w:color w:val="FF0000"/>
        </w:rPr>
        <w:t>preparaciones oftálmicas, inyectables u otros preparados estériles,</w:t>
      </w:r>
      <w:r w:rsidRPr="00E93D36">
        <w:rPr>
          <w:rFonts w:ascii="Arial" w:hAnsi="Arial" w:cs="Arial"/>
          <w:b/>
          <w:color w:val="FF0000"/>
        </w:rPr>
        <w:t xml:space="preserve"> será necesario disponer de: </w:t>
      </w:r>
    </w:p>
    <w:p w14:paraId="242DB9D1" w14:textId="77777777" w:rsidR="00AD2FAE" w:rsidRPr="00E93D36" w:rsidRDefault="00AD2FAE" w:rsidP="00AD2FAE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Autoclave. </w:t>
      </w:r>
    </w:p>
    <w:p w14:paraId="093E45CB" w14:textId="77777777" w:rsidR="00AD2FAE" w:rsidRDefault="00AD2FAE" w:rsidP="00AD2FAE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Dosificadores de líquidos. </w:t>
      </w:r>
    </w:p>
    <w:p w14:paraId="35083F6F" w14:textId="77777777" w:rsidR="00AD2FAE" w:rsidRPr="00E93D36" w:rsidRDefault="00AD2FAE" w:rsidP="00AD2FAE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>Equipo de filtración esterilizante.</w:t>
      </w:r>
    </w:p>
    <w:p w14:paraId="18765221" w14:textId="77777777" w:rsidR="00AD2FAE" w:rsidRDefault="00AD2FAE" w:rsidP="00AD2FAE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Campana de flujo laminar. </w:t>
      </w:r>
    </w:p>
    <w:p w14:paraId="0E397670" w14:textId="77777777" w:rsidR="00AD2FAE" w:rsidRPr="00E93D36" w:rsidRDefault="00AD2FAE" w:rsidP="00AD2FAE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>Horno esterilizador y despirogen</w:t>
      </w:r>
      <w:r>
        <w:rPr>
          <w:rFonts w:ascii="Arial" w:hAnsi="Arial" w:cs="Arial"/>
          <w:b/>
          <w:color w:val="FF0000"/>
        </w:rPr>
        <w:t>iz</w:t>
      </w:r>
      <w:r w:rsidRPr="00E93D36">
        <w:rPr>
          <w:rFonts w:ascii="Arial" w:hAnsi="Arial" w:cs="Arial"/>
          <w:b/>
          <w:color w:val="FF0000"/>
        </w:rPr>
        <w:t xml:space="preserve">ador de calor seco. </w:t>
      </w:r>
    </w:p>
    <w:p w14:paraId="4D814DE0" w14:textId="77777777" w:rsidR="00AD2FAE" w:rsidRPr="00E93D36" w:rsidRDefault="00AD2FAE" w:rsidP="00AD2FAE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Homogeneizador. </w:t>
      </w:r>
    </w:p>
    <w:p w14:paraId="74956423" w14:textId="77777777" w:rsidR="00AD2FAE" w:rsidRPr="00E93D36" w:rsidRDefault="00AD2FAE" w:rsidP="00AD2FAE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Equipo para cerrar ampollas y capsular viales. </w:t>
      </w:r>
    </w:p>
    <w:p w14:paraId="222F83C9" w14:textId="77777777" w:rsidR="00AD2FAE" w:rsidRPr="00E93D36" w:rsidRDefault="00AD2FAE" w:rsidP="00AD2FAE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Sistema de lavado. </w:t>
      </w:r>
    </w:p>
    <w:p w14:paraId="13DF6D3F" w14:textId="77777777" w:rsidR="00AD2FAE" w:rsidRPr="00E93D36" w:rsidRDefault="00AD2FAE" w:rsidP="00AD2FAE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Estufa. </w:t>
      </w:r>
    </w:p>
    <w:p w14:paraId="7D6EB857" w14:textId="578F9C8A" w:rsidR="00AD2FAE" w:rsidRDefault="00AD2FAE" w:rsidP="00AD2FAE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>Placas Petri.</w:t>
      </w:r>
    </w:p>
    <w:p w14:paraId="3B755098" w14:textId="217B777E" w:rsidR="00AD2FAE" w:rsidRPr="00E93D36" w:rsidRDefault="00AD2FAE" w:rsidP="00AD2FAE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Indicadores biológicos (ver </w:t>
      </w:r>
      <w:r w:rsidR="00005B27">
        <w:rPr>
          <w:rFonts w:ascii="Arial" w:hAnsi="Arial" w:cs="Arial"/>
          <w:b/>
          <w:color w:val="FF0000"/>
        </w:rPr>
        <w:t xml:space="preserve">la serie de </w:t>
      </w:r>
      <w:r>
        <w:rPr>
          <w:rFonts w:ascii="Arial" w:hAnsi="Arial" w:cs="Arial"/>
          <w:b/>
          <w:color w:val="FF0000"/>
        </w:rPr>
        <w:t>normas</w:t>
      </w:r>
      <w:r w:rsidR="00005B2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INTE/ISO 11138 e INTE/ISO 14161) y químicos (ver </w:t>
      </w:r>
      <w:r w:rsidR="00005B27">
        <w:rPr>
          <w:rFonts w:ascii="Arial" w:hAnsi="Arial" w:cs="Arial"/>
          <w:b/>
          <w:color w:val="FF0000"/>
        </w:rPr>
        <w:t xml:space="preserve">la serie de normas </w:t>
      </w:r>
      <w:r>
        <w:rPr>
          <w:rFonts w:ascii="Arial" w:hAnsi="Arial" w:cs="Arial"/>
          <w:b/>
          <w:color w:val="FF0000"/>
        </w:rPr>
        <w:t xml:space="preserve">INTE/ISO 11140) necesarios </w:t>
      </w:r>
      <w:r w:rsidR="00005B27">
        <w:rPr>
          <w:rFonts w:ascii="Arial" w:hAnsi="Arial" w:cs="Arial"/>
          <w:b/>
          <w:color w:val="FF0000"/>
        </w:rPr>
        <w:t>en</w:t>
      </w:r>
      <w:r>
        <w:rPr>
          <w:rFonts w:ascii="Arial" w:hAnsi="Arial" w:cs="Arial"/>
          <w:b/>
          <w:color w:val="FF0000"/>
        </w:rPr>
        <w:t xml:space="preserve"> la comprobación de los procesos de esterilización.</w:t>
      </w:r>
    </w:p>
    <w:p w14:paraId="1BA2D320" w14:textId="77777777" w:rsidR="00AD2FAE" w:rsidRPr="00E93D36" w:rsidRDefault="00AD2FAE" w:rsidP="00AD2FAE">
      <w:p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>Si se elabora</w:t>
      </w:r>
      <w:r>
        <w:rPr>
          <w:rFonts w:ascii="Arial" w:hAnsi="Arial" w:cs="Arial"/>
          <w:b/>
          <w:color w:val="FF0000"/>
        </w:rPr>
        <w:t>n</w:t>
      </w:r>
      <w:r w:rsidRPr="00E93D36">
        <w:rPr>
          <w:rFonts w:ascii="Arial" w:hAnsi="Arial" w:cs="Arial"/>
          <w:b/>
          <w:color w:val="FF0000"/>
        </w:rPr>
        <w:t xml:space="preserve"> liofilizados, ha de tener: </w:t>
      </w:r>
    </w:p>
    <w:p w14:paraId="508A2D4B" w14:textId="77777777" w:rsidR="00AD2FAE" w:rsidRPr="00E93D36" w:rsidRDefault="00AD2FAE" w:rsidP="00AD2FAE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lastRenderedPageBreak/>
        <w:t xml:space="preserve">Liofilizador. </w:t>
      </w:r>
    </w:p>
    <w:p w14:paraId="5FF878B3" w14:textId="77777777" w:rsidR="00AD2FAE" w:rsidRPr="00E93D36" w:rsidRDefault="00AD2FAE" w:rsidP="00AD2FAE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Refrigeradora</w:t>
      </w:r>
      <w:r w:rsidRPr="00E93D36">
        <w:rPr>
          <w:rFonts w:ascii="Arial" w:hAnsi="Arial" w:cs="Arial"/>
          <w:b/>
          <w:color w:val="FF0000"/>
        </w:rPr>
        <w:t xml:space="preserve"> con congelador. </w:t>
      </w:r>
    </w:p>
    <w:p w14:paraId="5A3B5ECA" w14:textId="77777777" w:rsidR="00AD2FAE" w:rsidRPr="00E93D36" w:rsidRDefault="00AD2FAE" w:rsidP="00AD2FAE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 xml:space="preserve">Si se elaboran fórmulas magistrales con productos fácilmente oxidables deberá </w:t>
      </w:r>
      <w:r>
        <w:rPr>
          <w:rFonts w:ascii="Arial" w:hAnsi="Arial" w:cs="Arial"/>
          <w:b/>
          <w:color w:val="FF0000"/>
        </w:rPr>
        <w:t>disponer de una campana</w:t>
      </w:r>
      <w:r w:rsidRPr="00E93D36">
        <w:rPr>
          <w:rFonts w:ascii="Arial" w:hAnsi="Arial" w:cs="Arial"/>
          <w:b/>
          <w:color w:val="FF0000"/>
        </w:rPr>
        <w:t xml:space="preserve"> para trabajar con gas inerte. </w:t>
      </w:r>
    </w:p>
    <w:p w14:paraId="32B05D93" w14:textId="77777777" w:rsidR="00AD2FAE" w:rsidRPr="00E93D36" w:rsidRDefault="00AD2FAE" w:rsidP="00AD2FAE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E93D36">
        <w:rPr>
          <w:rFonts w:ascii="Arial" w:hAnsi="Arial" w:cs="Arial"/>
          <w:b/>
          <w:color w:val="FF0000"/>
        </w:rPr>
        <w:t>Para realizar las determinaciones analíticas de las materias primas y productos elaborados, se dispondrá de los aparatos necesarios para cada caso.</w:t>
      </w:r>
      <w:r>
        <w:rPr>
          <w:rFonts w:ascii="Arial" w:hAnsi="Arial" w:cs="Arial"/>
          <w:b/>
          <w:color w:val="FF0000"/>
        </w:rPr>
        <w:t xml:space="preserve"> Se debe contar con la documentación correspondiente, por ejemplo, los certificados de análisis.</w:t>
      </w:r>
    </w:p>
    <w:p w14:paraId="3302A359" w14:textId="77777777" w:rsidR="00AD2FAE" w:rsidRPr="00F043EB" w:rsidRDefault="00AD2FAE" w:rsidP="00AD2FAE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F043EB">
        <w:rPr>
          <w:rFonts w:ascii="Arial" w:hAnsi="Arial" w:cs="Arial"/>
          <w:b/>
          <w:bCs/>
          <w:color w:val="FF0000"/>
        </w:rPr>
        <w:t>El equipo y los utensilios utilizados para la elaboración de una preparación deberán ser de diseño y capacidad adecuada. El equipo deberá ser de material adecuado y que las superficies de contacto no sean ni reactivos, aditivos, ni absorban sustancias y por lo tanto no vayan a afectar o alterar la pureza de las preparaciones. Los tipos y tamaños de los equipos dependen de las formas de dosificación y las cantidades a preparar.</w:t>
      </w:r>
    </w:p>
    <w:p w14:paraId="07416A19" w14:textId="5FD7D4A7" w:rsidR="00AD2FAE" w:rsidRDefault="00AD2FAE" w:rsidP="00AD2FAE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F043EB">
        <w:rPr>
          <w:rFonts w:ascii="Arial" w:hAnsi="Arial" w:cs="Arial"/>
          <w:b/>
          <w:bCs/>
          <w:color w:val="FF0000"/>
        </w:rPr>
        <w:t>El equipo debe ser almacenado para protegerlo de la contaminación y se debe colocar en un sitio adecuado para facilitar su uso, el mantenimiento y la limpieza. Los automatizados, mecánicos, electrónicos, y otros tipos de equipos utilizados en la composición o ensayo de preparaciones magistrales</w:t>
      </w:r>
      <w:r>
        <w:rPr>
          <w:rFonts w:ascii="Arial" w:hAnsi="Arial" w:cs="Arial"/>
          <w:b/>
          <w:bCs/>
          <w:color w:val="FF0000"/>
        </w:rPr>
        <w:t xml:space="preserve"> u oficinales</w:t>
      </w:r>
      <w:r w:rsidRPr="00F043EB">
        <w:rPr>
          <w:rFonts w:ascii="Arial" w:hAnsi="Arial" w:cs="Arial"/>
          <w:b/>
          <w:bCs/>
          <w:color w:val="FF0000"/>
        </w:rPr>
        <w:t xml:space="preserve"> serán inspeccionados de forma rutinaria, calibrados si es necesario, y se compr</w:t>
      </w:r>
      <w:r>
        <w:rPr>
          <w:rFonts w:ascii="Arial" w:hAnsi="Arial" w:cs="Arial"/>
          <w:b/>
          <w:bCs/>
          <w:color w:val="FF0000"/>
        </w:rPr>
        <w:t>obarán</w:t>
      </w:r>
      <w:r w:rsidRPr="00F043EB">
        <w:rPr>
          <w:rFonts w:ascii="Arial" w:hAnsi="Arial" w:cs="Arial"/>
          <w:b/>
          <w:bCs/>
          <w:color w:val="FF0000"/>
        </w:rPr>
        <w:t xml:space="preserve"> para asegurar su correcto funcionamiento. Inmediatamente antes de las operaciones de </w:t>
      </w:r>
      <w:r>
        <w:rPr>
          <w:rFonts w:ascii="Arial" w:hAnsi="Arial" w:cs="Arial"/>
          <w:b/>
          <w:bCs/>
          <w:color w:val="FF0000"/>
        </w:rPr>
        <w:t>elaboración</w:t>
      </w:r>
      <w:r w:rsidRPr="00F043EB">
        <w:rPr>
          <w:rFonts w:ascii="Arial" w:hAnsi="Arial" w:cs="Arial"/>
          <w:b/>
          <w:bCs/>
          <w:color w:val="FF0000"/>
        </w:rPr>
        <w:t xml:space="preserve">, el equipo deberá ser inspeccionado por el </w:t>
      </w:r>
      <w:r>
        <w:rPr>
          <w:rFonts w:ascii="Arial" w:hAnsi="Arial" w:cs="Arial"/>
          <w:b/>
          <w:bCs/>
          <w:color w:val="FF0000"/>
        </w:rPr>
        <w:t>profesional farmacéutico</w:t>
      </w:r>
      <w:r w:rsidRPr="00F043EB">
        <w:rPr>
          <w:rFonts w:ascii="Arial" w:hAnsi="Arial" w:cs="Arial"/>
          <w:b/>
          <w:bCs/>
          <w:color w:val="FF0000"/>
        </w:rPr>
        <w:t xml:space="preserve"> para determinar su idoneidad para el uso. Después de su uso, el equipo se limpiará adecuadamente.</w:t>
      </w:r>
      <w:r w:rsidRPr="00921748">
        <w:rPr>
          <w:rFonts w:ascii="Arial" w:hAnsi="Arial" w:cs="Arial"/>
          <w:b/>
          <w:bCs/>
          <w:color w:val="FF0000"/>
        </w:rPr>
        <w:t>]</w:t>
      </w:r>
    </w:p>
    <w:p w14:paraId="738FEF9C" w14:textId="77777777" w:rsidR="00AD2FAE" w:rsidRDefault="00AD2FAE" w:rsidP="00AD2FAE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73E82C27" w14:textId="672D54C2" w:rsidR="00AD2FAE" w:rsidRPr="00A27724" w:rsidRDefault="00AD2FAE" w:rsidP="00AD2FAE">
      <w:pPr>
        <w:spacing w:line="276" w:lineRule="auto"/>
        <w:jc w:val="both"/>
        <w:rPr>
          <w:rFonts w:ascii="Arial" w:hAnsi="Arial" w:cs="Arial"/>
          <w:b/>
          <w:bCs/>
        </w:rPr>
      </w:pPr>
      <w:r w:rsidRPr="00A27724">
        <w:rPr>
          <w:rFonts w:ascii="Arial" w:hAnsi="Arial" w:cs="Arial"/>
          <w:b/>
          <w:bCs/>
        </w:rPr>
        <w:t>Vestimenta del personal</w:t>
      </w:r>
    </w:p>
    <w:p w14:paraId="702BD9F5" w14:textId="77777777" w:rsidR="00AD2FAE" w:rsidRPr="00A27724" w:rsidRDefault="00AD2FAE" w:rsidP="00AD2FA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A27724">
        <w:rPr>
          <w:rFonts w:ascii="Arial" w:hAnsi="Arial" w:cs="Arial"/>
        </w:rPr>
        <w:t>Gorros protectores para el cabello o cofia</w:t>
      </w:r>
    </w:p>
    <w:p w14:paraId="5D558B9B" w14:textId="569BB469" w:rsidR="00AD2FAE" w:rsidRPr="00A27724" w:rsidRDefault="00AD2FAE" w:rsidP="00AD2FA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A27724">
        <w:rPr>
          <w:rFonts w:ascii="Arial" w:hAnsi="Arial" w:cs="Arial"/>
        </w:rPr>
        <w:t>Gabacha</w:t>
      </w:r>
    </w:p>
    <w:p w14:paraId="35D9A009" w14:textId="5F8F819E" w:rsidR="00AD2FAE" w:rsidRPr="00A27724" w:rsidRDefault="00AD2FAE" w:rsidP="00AD2FA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A27724">
        <w:rPr>
          <w:rFonts w:ascii="Arial" w:hAnsi="Arial" w:cs="Arial"/>
        </w:rPr>
        <w:t xml:space="preserve">Guantes de material adecuado según el tipo de proceso o reactivos a </w:t>
      </w:r>
      <w:r w:rsidR="00B80529" w:rsidRPr="00A27724">
        <w:rPr>
          <w:rFonts w:ascii="Arial" w:hAnsi="Arial" w:cs="Arial"/>
        </w:rPr>
        <w:t>manipular</w:t>
      </w:r>
    </w:p>
    <w:p w14:paraId="403EEE3C" w14:textId="67AC2B17" w:rsidR="00AD2FAE" w:rsidRPr="00A27724" w:rsidRDefault="00AD2FAE" w:rsidP="00AD2FA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A27724">
        <w:rPr>
          <w:rFonts w:ascii="Arial" w:hAnsi="Arial" w:cs="Arial"/>
        </w:rPr>
        <w:t xml:space="preserve">Guantes estériles </w:t>
      </w:r>
      <w:r w:rsidRPr="00A27724">
        <w:rPr>
          <w:rFonts w:ascii="Arial" w:hAnsi="Arial" w:cs="Arial"/>
          <w:b/>
          <w:bCs/>
          <w:color w:val="FF0000"/>
        </w:rPr>
        <w:t>[Si aplica]</w:t>
      </w:r>
    </w:p>
    <w:p w14:paraId="77C66EB0" w14:textId="77777777" w:rsidR="00AD2FAE" w:rsidRPr="00A27724" w:rsidRDefault="00AD2FAE" w:rsidP="00AD2FA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A27724">
        <w:rPr>
          <w:rFonts w:ascii="Arial" w:hAnsi="Arial" w:cs="Arial"/>
        </w:rPr>
        <w:t>Mascarillas</w:t>
      </w:r>
    </w:p>
    <w:p w14:paraId="78DD543B" w14:textId="79015EC0" w:rsidR="00AD2FAE" w:rsidRPr="00A27724" w:rsidRDefault="00AD2FAE" w:rsidP="00AD2FA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A27724">
        <w:rPr>
          <w:rFonts w:ascii="Arial" w:hAnsi="Arial" w:cs="Arial"/>
        </w:rPr>
        <w:t xml:space="preserve">Respiradores N95 para manejo de sustancias peligrosas </w:t>
      </w:r>
      <w:r w:rsidR="00005B27" w:rsidRPr="00A27724">
        <w:rPr>
          <w:rFonts w:ascii="Arial" w:hAnsi="Arial" w:cs="Arial"/>
          <w:b/>
          <w:bCs/>
          <w:color w:val="FF0000"/>
        </w:rPr>
        <w:t>[Si aplica]</w:t>
      </w:r>
    </w:p>
    <w:p w14:paraId="5DF548E7" w14:textId="72AA3FA4" w:rsidR="00AD2FAE" w:rsidRPr="00A27724" w:rsidRDefault="00AD2FAE" w:rsidP="00AD2FAE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27724">
        <w:rPr>
          <w:rFonts w:ascii="Arial" w:hAnsi="Arial" w:cs="Arial"/>
        </w:rPr>
        <w:t>Zapatos cerrados (cubre zapatos)</w:t>
      </w:r>
    </w:p>
    <w:p w14:paraId="5854DA33" w14:textId="5C4C4085" w:rsidR="00B02E55" w:rsidRDefault="00B15130" w:rsidP="00BF35A7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  <w:r w:rsidRPr="007F6CDE">
        <w:rPr>
          <w:rFonts w:ascii="Arial" w:hAnsi="Arial" w:cs="Arial"/>
          <w:b/>
          <w:bCs/>
          <w:color w:val="FF0000"/>
        </w:rPr>
        <w:t xml:space="preserve">[Colocar </w:t>
      </w:r>
      <w:r w:rsidR="00AE3138">
        <w:rPr>
          <w:rFonts w:ascii="Arial" w:hAnsi="Arial" w:cs="Arial"/>
          <w:b/>
          <w:bCs/>
          <w:color w:val="FF0000"/>
        </w:rPr>
        <w:t>cualquier otro</w:t>
      </w:r>
      <w:r w:rsidRPr="007F6CDE">
        <w:rPr>
          <w:rFonts w:ascii="Arial" w:hAnsi="Arial" w:cs="Arial"/>
          <w:b/>
          <w:bCs/>
          <w:color w:val="FF0000"/>
        </w:rPr>
        <w:t xml:space="preserve"> equipo </w:t>
      </w:r>
      <w:r w:rsidR="00AE3138">
        <w:rPr>
          <w:rFonts w:ascii="Arial" w:hAnsi="Arial" w:cs="Arial"/>
          <w:b/>
          <w:bCs/>
          <w:color w:val="FF0000"/>
        </w:rPr>
        <w:t>o</w:t>
      </w:r>
      <w:r w:rsidRPr="007F6CDE">
        <w:rPr>
          <w:rFonts w:ascii="Arial" w:hAnsi="Arial" w:cs="Arial"/>
          <w:b/>
          <w:bCs/>
          <w:color w:val="FF0000"/>
        </w:rPr>
        <w:t xml:space="preserve"> material</w:t>
      </w:r>
      <w:r w:rsidR="00AE3138">
        <w:rPr>
          <w:rFonts w:ascii="Arial" w:hAnsi="Arial" w:cs="Arial"/>
          <w:b/>
          <w:bCs/>
          <w:color w:val="FF0000"/>
        </w:rPr>
        <w:t xml:space="preserve"> necesario </w:t>
      </w:r>
      <w:r w:rsidRPr="007F6CDE">
        <w:rPr>
          <w:rFonts w:ascii="Arial" w:hAnsi="Arial" w:cs="Arial"/>
          <w:b/>
          <w:bCs/>
          <w:color w:val="FF0000"/>
        </w:rPr>
        <w:t>para el correcto y completo cumplimiento del pro</w:t>
      </w:r>
      <w:r w:rsidR="00393776">
        <w:rPr>
          <w:rFonts w:ascii="Arial" w:hAnsi="Arial" w:cs="Arial"/>
          <w:b/>
          <w:bCs/>
          <w:color w:val="FF0000"/>
        </w:rPr>
        <w:t>cedimiento</w:t>
      </w:r>
      <w:r w:rsidRPr="007F6CDE">
        <w:rPr>
          <w:rFonts w:ascii="Arial" w:hAnsi="Arial" w:cs="Arial"/>
          <w:b/>
          <w:bCs/>
          <w:color w:val="FF0000"/>
        </w:rPr>
        <w:t xml:space="preserve"> en el establecimiento.]</w:t>
      </w:r>
    </w:p>
    <w:p w14:paraId="74541C9C" w14:textId="59DA74E5" w:rsidR="000A63B6" w:rsidRDefault="000A63B6" w:rsidP="00BF35A7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052DDC26" w14:textId="77777777" w:rsidR="00AD2FAE" w:rsidRPr="00921748" w:rsidRDefault="00AD2FAE" w:rsidP="00AD2FAE">
      <w:pPr>
        <w:spacing w:line="276" w:lineRule="auto"/>
        <w:jc w:val="both"/>
        <w:rPr>
          <w:rFonts w:ascii="Arial" w:hAnsi="Arial" w:cs="Arial"/>
          <w:b/>
          <w:bCs/>
        </w:rPr>
      </w:pPr>
      <w:r w:rsidRPr="00921748">
        <w:rPr>
          <w:rFonts w:ascii="Arial" w:hAnsi="Arial" w:cs="Arial"/>
          <w:b/>
          <w:bCs/>
        </w:rPr>
        <w:lastRenderedPageBreak/>
        <w:t>Generalidades</w:t>
      </w:r>
    </w:p>
    <w:p w14:paraId="4B635819" w14:textId="57C4FE73" w:rsidR="00AD2FAE" w:rsidRPr="002B4D55" w:rsidRDefault="00AD2FAE" w:rsidP="00AD2FAE">
      <w:pPr>
        <w:spacing w:line="276" w:lineRule="auto"/>
        <w:jc w:val="both"/>
        <w:rPr>
          <w:rFonts w:ascii="Arial" w:hAnsi="Arial" w:cs="Arial"/>
        </w:rPr>
      </w:pPr>
      <w:r w:rsidRPr="002B4D55">
        <w:rPr>
          <w:rFonts w:ascii="Arial" w:hAnsi="Arial" w:cs="Arial"/>
        </w:rPr>
        <w:t>Este pro</w:t>
      </w:r>
      <w:r w:rsidR="00E37CAE">
        <w:rPr>
          <w:rFonts w:ascii="Arial" w:hAnsi="Arial" w:cs="Arial"/>
        </w:rPr>
        <w:t>cedimiento</w:t>
      </w:r>
      <w:r w:rsidRPr="002B4D55">
        <w:rPr>
          <w:rFonts w:ascii="Arial" w:hAnsi="Arial" w:cs="Arial"/>
        </w:rPr>
        <w:t xml:space="preserve"> corresponde a las prácticas generales de elaboración de las preparaciones magistrales</w:t>
      </w:r>
      <w:r>
        <w:rPr>
          <w:rFonts w:ascii="Arial" w:hAnsi="Arial" w:cs="Arial"/>
        </w:rPr>
        <w:t xml:space="preserve"> </w:t>
      </w:r>
      <w:r w:rsidRPr="000D6A2B">
        <w:rPr>
          <w:rFonts w:ascii="Arial" w:hAnsi="Arial" w:cs="Arial"/>
          <w:b/>
          <w:bCs/>
          <w:color w:val="FF0000"/>
        </w:rPr>
        <w:t>[y oficinales]</w:t>
      </w:r>
      <w:r w:rsidRPr="002B4D55">
        <w:rPr>
          <w:rFonts w:ascii="Arial" w:hAnsi="Arial" w:cs="Arial"/>
        </w:rPr>
        <w:t xml:space="preserve"> de la farmacia</w:t>
      </w:r>
      <w:r>
        <w:rPr>
          <w:rFonts w:ascii="Arial" w:hAnsi="Arial" w:cs="Arial"/>
        </w:rPr>
        <w:t>.</w:t>
      </w:r>
      <w:r w:rsidRPr="002B4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</w:t>
      </w:r>
      <w:r w:rsidRPr="002B4D55">
        <w:rPr>
          <w:rFonts w:ascii="Arial" w:hAnsi="Arial" w:cs="Arial"/>
        </w:rPr>
        <w:t>s procesos específicos de cada una de las preparaciones magistrales</w:t>
      </w:r>
      <w:r>
        <w:rPr>
          <w:rFonts w:ascii="Arial" w:hAnsi="Arial" w:cs="Arial"/>
        </w:rPr>
        <w:t xml:space="preserve"> </w:t>
      </w:r>
      <w:r w:rsidRPr="000D6A2B">
        <w:rPr>
          <w:rFonts w:ascii="Arial" w:hAnsi="Arial" w:cs="Arial"/>
          <w:b/>
          <w:bCs/>
          <w:color w:val="FF0000"/>
        </w:rPr>
        <w:t>[y oficinales]</w:t>
      </w:r>
      <w:r w:rsidRPr="002B4D55">
        <w:rPr>
          <w:rFonts w:ascii="Arial" w:hAnsi="Arial" w:cs="Arial"/>
        </w:rPr>
        <w:t xml:space="preserve"> se detallan separadamente en los correspondientes procedimientos operativos normalizados, pertenecientes al Sistema de Garantía de Calidad propio de la farmacia</w:t>
      </w:r>
      <w:r>
        <w:rPr>
          <w:rFonts w:ascii="Arial" w:hAnsi="Arial" w:cs="Arial"/>
        </w:rPr>
        <w:t>, el cual es</w:t>
      </w:r>
      <w:r w:rsidRPr="002B4D55">
        <w:rPr>
          <w:rFonts w:ascii="Arial" w:hAnsi="Arial" w:cs="Arial"/>
        </w:rPr>
        <w:t xml:space="preserve"> necesario para lograr el control de los procesos y asegurar la calidad, seguridad y eficacia de los medicamentos que se elaboren.</w:t>
      </w:r>
    </w:p>
    <w:p w14:paraId="3D379D0F" w14:textId="77777777" w:rsidR="00AD2FAE" w:rsidRDefault="00AD2FAE" w:rsidP="00AD2FAE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[Se recomienda consultar el </w:t>
      </w:r>
      <w:r w:rsidRPr="005A6B6F">
        <w:rPr>
          <w:rFonts w:ascii="Arial" w:hAnsi="Arial" w:cs="Arial"/>
          <w:b/>
          <w:bCs/>
          <w:color w:val="FF0000"/>
        </w:rPr>
        <w:t>Formulario Iberoamericano</w:t>
      </w:r>
      <w:r>
        <w:rPr>
          <w:rFonts w:ascii="Arial" w:hAnsi="Arial" w:cs="Arial"/>
          <w:b/>
          <w:bCs/>
          <w:color w:val="FF0000"/>
        </w:rPr>
        <w:t xml:space="preserve"> de </w:t>
      </w:r>
      <w:r w:rsidRPr="005A6B6F">
        <w:rPr>
          <w:rFonts w:ascii="Arial" w:hAnsi="Arial" w:cs="Arial"/>
          <w:b/>
          <w:bCs/>
          <w:color w:val="FF0000"/>
        </w:rPr>
        <w:t>Buenas Prácticas de Elaboración y Control de Calidad de Preparaciones Magistrales y Oficinales</w:t>
      </w:r>
      <w:r>
        <w:rPr>
          <w:rFonts w:ascii="Arial" w:hAnsi="Arial" w:cs="Arial"/>
          <w:b/>
          <w:bCs/>
          <w:color w:val="FF0000"/>
        </w:rPr>
        <w:t xml:space="preserve"> y los capítulos generales &lt;795&gt;, &lt;797&gt;, &lt;800&gt;, &lt;825&gt;, &lt;1160&gt;, &lt;1163&gt; y &lt;1176&gt; de la Farmacopea de los Estados Unidos.</w:t>
      </w:r>
      <w:r w:rsidRPr="00921748">
        <w:rPr>
          <w:rFonts w:ascii="Arial" w:hAnsi="Arial" w:cs="Arial"/>
          <w:b/>
          <w:bCs/>
          <w:color w:val="FF0000"/>
        </w:rPr>
        <w:t>]</w:t>
      </w:r>
    </w:p>
    <w:p w14:paraId="19912A75" w14:textId="77777777" w:rsidR="00AD2FAE" w:rsidRDefault="00AD2FAE" w:rsidP="00AD2FAE">
      <w:pPr>
        <w:spacing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[Principios generales de la preparación magistral y oficinal</w:t>
      </w:r>
    </w:p>
    <w:p w14:paraId="71169475" w14:textId="77777777" w:rsidR="00AD2FAE" w:rsidRPr="002329ED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Contar con personal profesional y no profesional capacitado y que la capacitación sea continua, </w:t>
      </w:r>
      <w:r w:rsidRPr="00DC2C85">
        <w:rPr>
          <w:rFonts w:ascii="Arial" w:hAnsi="Arial" w:cs="Arial"/>
          <w:b/>
          <w:bCs/>
          <w:color w:val="FF0000"/>
        </w:rPr>
        <w:t>tales condiciones deben ser demostradas documentalmente.</w:t>
      </w:r>
    </w:p>
    <w:p w14:paraId="0A4A3110" w14:textId="77777777" w:rsidR="00AD2FAE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FF01F5">
        <w:rPr>
          <w:rFonts w:ascii="Arial" w:hAnsi="Arial" w:cs="Arial"/>
          <w:b/>
          <w:bCs/>
          <w:color w:val="FF0000"/>
        </w:rPr>
        <w:t>Asegurar la calidad de las materias primas y material de acondicionamiento a utilizar en la elaboración de preparaciones, así como verificar que cumplen con las especificaciones. Solicitar y revisar los certificados de análisis del</w:t>
      </w:r>
      <w:r>
        <w:rPr>
          <w:rFonts w:ascii="Arial" w:hAnsi="Arial" w:cs="Arial"/>
          <w:b/>
          <w:bCs/>
          <w:color w:val="FF0000"/>
        </w:rPr>
        <w:t xml:space="preserve"> fabricante de la materia prima, principalmente los principios activos.</w:t>
      </w:r>
    </w:p>
    <w:p w14:paraId="5B48DD4C" w14:textId="77777777" w:rsidR="00AD2FAE" w:rsidRPr="005F7750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5F7750">
        <w:rPr>
          <w:rFonts w:ascii="Arial" w:hAnsi="Arial" w:cs="Arial"/>
          <w:b/>
          <w:bCs/>
          <w:color w:val="FF0000"/>
        </w:rPr>
        <w:t>Las materias primas deben permanecer en sus envases originales siempre que sea posible; caso contrario, se deben conservar los rótulos originales para fines de trazabilidad e identificar el nuevo envase que las contendrá. Todos los envases deben estar correctamente etiquetados.</w:t>
      </w:r>
    </w:p>
    <w:p w14:paraId="155E8614" w14:textId="77777777" w:rsidR="00AD2FAE" w:rsidRPr="002329ED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Aplicar los principios de s</w:t>
      </w:r>
      <w:r w:rsidRPr="002329ED">
        <w:rPr>
          <w:rFonts w:ascii="Arial" w:hAnsi="Arial" w:cs="Arial"/>
          <w:b/>
          <w:bCs/>
          <w:color w:val="FF0000"/>
        </w:rPr>
        <w:t>alud ocupacional y documentación</w:t>
      </w:r>
      <w:r>
        <w:rPr>
          <w:rFonts w:ascii="Arial" w:hAnsi="Arial" w:cs="Arial"/>
          <w:b/>
          <w:bCs/>
          <w:color w:val="FF0000"/>
        </w:rPr>
        <w:t xml:space="preserve"> para el manejo y almacenamiento de</w:t>
      </w:r>
      <w:r w:rsidRPr="002329ED">
        <w:rPr>
          <w:rFonts w:ascii="Arial" w:hAnsi="Arial" w:cs="Arial"/>
          <w:b/>
          <w:bCs/>
          <w:color w:val="FF0000"/>
        </w:rPr>
        <w:t xml:space="preserve"> las materia</w:t>
      </w:r>
      <w:r>
        <w:rPr>
          <w:rFonts w:ascii="Arial" w:hAnsi="Arial" w:cs="Arial"/>
          <w:b/>
          <w:bCs/>
          <w:color w:val="FF0000"/>
        </w:rPr>
        <w:t>s</w:t>
      </w:r>
      <w:r w:rsidRPr="002329ED">
        <w:rPr>
          <w:rFonts w:ascii="Arial" w:hAnsi="Arial" w:cs="Arial"/>
          <w:b/>
          <w:bCs/>
          <w:color w:val="FF0000"/>
        </w:rPr>
        <w:t xml:space="preserve"> primas utilizadas.</w:t>
      </w:r>
    </w:p>
    <w:p w14:paraId="664A5C18" w14:textId="77777777" w:rsidR="00AD2FAE" w:rsidRPr="002329ED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M</w:t>
      </w:r>
      <w:r w:rsidRPr="002329ED">
        <w:rPr>
          <w:rFonts w:ascii="Arial" w:hAnsi="Arial" w:cs="Arial"/>
          <w:b/>
          <w:bCs/>
          <w:color w:val="FF0000"/>
        </w:rPr>
        <w:t>ant</w:t>
      </w:r>
      <w:r>
        <w:rPr>
          <w:rFonts w:ascii="Arial" w:hAnsi="Arial" w:cs="Arial"/>
          <w:b/>
          <w:bCs/>
          <w:color w:val="FF0000"/>
        </w:rPr>
        <w:t xml:space="preserve">ener </w:t>
      </w:r>
      <w:r w:rsidRPr="002329ED">
        <w:rPr>
          <w:rFonts w:ascii="Arial" w:hAnsi="Arial" w:cs="Arial"/>
          <w:b/>
          <w:bCs/>
          <w:color w:val="FF0000"/>
        </w:rPr>
        <w:t>limpio y en excelente estado</w:t>
      </w:r>
      <w:r>
        <w:rPr>
          <w:rFonts w:ascii="Arial" w:hAnsi="Arial" w:cs="Arial"/>
          <w:b/>
          <w:bCs/>
          <w:color w:val="FF0000"/>
        </w:rPr>
        <w:t xml:space="preserve"> el</w:t>
      </w:r>
      <w:r w:rsidRPr="00F043EB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e</w:t>
      </w:r>
      <w:r w:rsidRPr="002329ED">
        <w:rPr>
          <w:rFonts w:ascii="Arial" w:hAnsi="Arial" w:cs="Arial"/>
          <w:b/>
          <w:bCs/>
          <w:color w:val="FF0000"/>
        </w:rPr>
        <w:t>quipo.</w:t>
      </w:r>
    </w:p>
    <w:p w14:paraId="4DBBF2B7" w14:textId="64FCF6A9" w:rsidR="00AD2FAE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Contar con un a</w:t>
      </w:r>
      <w:r w:rsidRPr="002329ED">
        <w:rPr>
          <w:rFonts w:ascii="Arial" w:hAnsi="Arial" w:cs="Arial"/>
          <w:b/>
          <w:bCs/>
          <w:color w:val="FF0000"/>
        </w:rPr>
        <w:t xml:space="preserve">mbiente </w:t>
      </w:r>
      <w:r w:rsidRPr="00A27724">
        <w:rPr>
          <w:rFonts w:ascii="Arial" w:hAnsi="Arial" w:cs="Arial"/>
          <w:b/>
          <w:bCs/>
          <w:color w:val="FF0000"/>
        </w:rPr>
        <w:t>adecuado d</w:t>
      </w:r>
      <w:r w:rsidRPr="002329ED">
        <w:rPr>
          <w:rFonts w:ascii="Arial" w:hAnsi="Arial" w:cs="Arial"/>
          <w:b/>
          <w:bCs/>
          <w:color w:val="FF0000"/>
        </w:rPr>
        <w:t xml:space="preserve">e </w:t>
      </w:r>
      <w:r>
        <w:rPr>
          <w:rFonts w:ascii="Arial" w:hAnsi="Arial" w:cs="Arial"/>
          <w:b/>
          <w:bCs/>
          <w:color w:val="FF0000"/>
        </w:rPr>
        <w:t>trabajo donde se elaboran las preparaciones</w:t>
      </w:r>
      <w:r w:rsidRPr="002329ED">
        <w:rPr>
          <w:rFonts w:ascii="Arial" w:hAnsi="Arial" w:cs="Arial"/>
          <w:b/>
          <w:bCs/>
          <w:color w:val="FF0000"/>
        </w:rPr>
        <w:t xml:space="preserve"> para el uso pretendido y para los productos que se </w:t>
      </w:r>
      <w:r>
        <w:rPr>
          <w:rFonts w:ascii="Arial" w:hAnsi="Arial" w:cs="Arial"/>
          <w:b/>
          <w:bCs/>
          <w:color w:val="FF0000"/>
        </w:rPr>
        <w:t>elaboran</w:t>
      </w:r>
      <w:r w:rsidRPr="002329ED">
        <w:rPr>
          <w:rFonts w:ascii="Arial" w:hAnsi="Arial" w:cs="Arial"/>
          <w:b/>
          <w:bCs/>
          <w:color w:val="FF0000"/>
        </w:rPr>
        <w:t xml:space="preserve"> en </w:t>
      </w:r>
      <w:r>
        <w:rPr>
          <w:rFonts w:ascii="Arial" w:hAnsi="Arial" w:cs="Arial"/>
          <w:b/>
          <w:bCs/>
          <w:color w:val="FF0000"/>
        </w:rPr>
        <w:t>este</w:t>
      </w:r>
      <w:r w:rsidRPr="002329ED">
        <w:rPr>
          <w:rFonts w:ascii="Arial" w:hAnsi="Arial" w:cs="Arial"/>
          <w:b/>
          <w:bCs/>
          <w:color w:val="FF0000"/>
        </w:rPr>
        <w:t xml:space="preserve">. </w:t>
      </w:r>
    </w:p>
    <w:p w14:paraId="3E5B22D5" w14:textId="77777777" w:rsidR="00AD2FAE" w:rsidRPr="002329ED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I</w:t>
      </w:r>
      <w:r w:rsidRPr="002329ED">
        <w:rPr>
          <w:rFonts w:ascii="Arial" w:hAnsi="Arial" w:cs="Arial"/>
          <w:b/>
          <w:bCs/>
          <w:color w:val="FF0000"/>
        </w:rPr>
        <w:t>mplementa</w:t>
      </w:r>
      <w:r>
        <w:rPr>
          <w:rFonts w:ascii="Arial" w:hAnsi="Arial" w:cs="Arial"/>
          <w:b/>
          <w:bCs/>
          <w:color w:val="FF0000"/>
        </w:rPr>
        <w:t>r</w:t>
      </w:r>
      <w:r w:rsidRPr="002329ED">
        <w:rPr>
          <w:rFonts w:ascii="Arial" w:hAnsi="Arial" w:cs="Arial"/>
          <w:b/>
          <w:bCs/>
          <w:color w:val="FF0000"/>
        </w:rPr>
        <w:t xml:space="preserve"> procedimientos para prevenir la contaminación cruzada. </w:t>
      </w:r>
    </w:p>
    <w:p w14:paraId="495422BD" w14:textId="77777777" w:rsidR="00AD2FAE" w:rsidRPr="002329ED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2329ED">
        <w:rPr>
          <w:rFonts w:ascii="Arial" w:hAnsi="Arial" w:cs="Arial"/>
          <w:b/>
          <w:bCs/>
          <w:color w:val="FF0000"/>
        </w:rPr>
        <w:t>Sólo personal autorizado se puede acercar a las áreas en la inmediata cercanía del área de preparación.</w:t>
      </w:r>
    </w:p>
    <w:p w14:paraId="3BC592F0" w14:textId="77777777" w:rsidR="00AD2FAE" w:rsidRPr="002329ED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2329ED">
        <w:rPr>
          <w:rFonts w:ascii="Arial" w:hAnsi="Arial" w:cs="Arial"/>
          <w:b/>
          <w:bCs/>
          <w:color w:val="FF0000"/>
        </w:rPr>
        <w:t xml:space="preserve">Se </w:t>
      </w:r>
      <w:r>
        <w:rPr>
          <w:rFonts w:ascii="Arial" w:hAnsi="Arial" w:cs="Arial"/>
          <w:b/>
          <w:bCs/>
          <w:color w:val="FF0000"/>
        </w:rPr>
        <w:t>asegura</w:t>
      </w:r>
      <w:r w:rsidRPr="002329ED">
        <w:rPr>
          <w:rFonts w:ascii="Arial" w:hAnsi="Arial" w:cs="Arial"/>
          <w:b/>
          <w:bCs/>
          <w:color w:val="FF0000"/>
        </w:rPr>
        <w:t xml:space="preserve"> que los procesos son siempre realizados según está especificado y son reproducibles.</w:t>
      </w:r>
    </w:p>
    <w:p w14:paraId="25A2D8B5" w14:textId="77777777" w:rsidR="00AD2FAE" w:rsidRPr="002329ED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2329ED">
        <w:rPr>
          <w:rFonts w:ascii="Arial" w:hAnsi="Arial" w:cs="Arial"/>
          <w:b/>
          <w:bCs/>
          <w:color w:val="FF0000"/>
        </w:rPr>
        <w:t>Las condiciones de trabajo son adecuadas para prevenir errores.</w:t>
      </w:r>
    </w:p>
    <w:p w14:paraId="73605139" w14:textId="77777777" w:rsidR="00AD2FAE" w:rsidRPr="002329ED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2329ED">
        <w:rPr>
          <w:rFonts w:ascii="Arial" w:hAnsi="Arial" w:cs="Arial"/>
          <w:b/>
          <w:bCs/>
          <w:color w:val="FF0000"/>
        </w:rPr>
        <w:lastRenderedPageBreak/>
        <w:t>Todos los aspectos de la preparación se encuentran adecuadamente documentados.</w:t>
      </w:r>
    </w:p>
    <w:p w14:paraId="5118DDC2" w14:textId="77777777" w:rsidR="00AD2FAE" w:rsidRPr="002329ED" w:rsidRDefault="00AD2FAE" w:rsidP="00AD2FA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2329ED">
        <w:rPr>
          <w:rFonts w:ascii="Arial" w:hAnsi="Arial" w:cs="Arial"/>
          <w:b/>
          <w:bCs/>
          <w:color w:val="FF0000"/>
        </w:rPr>
        <w:t>Existen procedimientos y registros adecuados que permitan investigar o corregir fallas o problemas.</w:t>
      </w:r>
      <w:r>
        <w:rPr>
          <w:rFonts w:ascii="Arial" w:hAnsi="Arial" w:cs="Arial"/>
          <w:b/>
          <w:bCs/>
          <w:color w:val="FF0000"/>
        </w:rPr>
        <w:t>]</w:t>
      </w:r>
    </w:p>
    <w:p w14:paraId="2CC36882" w14:textId="5F8D0B9B" w:rsidR="000A63B6" w:rsidRDefault="000A63B6" w:rsidP="00BF35A7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2CEFDC49" w14:textId="77777777" w:rsidR="00005B27" w:rsidRPr="00921748" w:rsidRDefault="00005B27" w:rsidP="00005B27">
      <w:pPr>
        <w:spacing w:line="276" w:lineRule="auto"/>
        <w:jc w:val="both"/>
        <w:rPr>
          <w:rFonts w:ascii="Arial" w:hAnsi="Arial" w:cs="Arial"/>
          <w:b/>
          <w:bCs/>
        </w:rPr>
      </w:pPr>
      <w:r w:rsidRPr="00B6117F">
        <w:rPr>
          <w:rFonts w:ascii="Arial" w:hAnsi="Arial" w:cs="Arial"/>
          <w:b/>
          <w:bCs/>
        </w:rPr>
        <w:t>Planta física del área de elaboración</w:t>
      </w:r>
    </w:p>
    <w:p w14:paraId="08E299BD" w14:textId="77777777" w:rsidR="00005B27" w:rsidRDefault="00005B27" w:rsidP="00005B2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[Colocar una descripción completa del área e instalación física de elaboración.] </w:t>
      </w:r>
    </w:p>
    <w:p w14:paraId="7830AA7E" w14:textId="77777777" w:rsidR="00005B27" w:rsidRDefault="00005B27" w:rsidP="00005B27">
      <w:pPr>
        <w:spacing w:line="276" w:lineRule="auto"/>
        <w:jc w:val="both"/>
        <w:rPr>
          <w:rFonts w:ascii="Arial" w:hAnsi="Arial" w:cs="Arial"/>
          <w:color w:val="FF0000"/>
        </w:rPr>
      </w:pPr>
      <w:r w:rsidRPr="00F94B77">
        <w:rPr>
          <w:rFonts w:ascii="Arial" w:hAnsi="Arial" w:cs="Arial"/>
          <w:b/>
          <w:bCs/>
          <w:color w:val="FF0000"/>
        </w:rPr>
        <w:t>[El lugar físico cumplirá con el requerimiento de la legislación vigente. Para preparaciones de alto riesgo y parenterales, se recomienda calificar el área y equipos que intervienen en la elaboración y llenado del producto.]</w:t>
      </w:r>
      <w:r w:rsidRPr="00921748">
        <w:rPr>
          <w:rFonts w:ascii="Arial" w:hAnsi="Arial" w:cs="Arial"/>
          <w:color w:val="FF0000"/>
        </w:rPr>
        <w:t xml:space="preserve"> </w:t>
      </w:r>
    </w:p>
    <w:p w14:paraId="7E09A4DF" w14:textId="77777777" w:rsidR="00005B27" w:rsidRDefault="00005B27" w:rsidP="00005B2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D710F">
        <w:rPr>
          <w:rFonts w:ascii="Arial" w:hAnsi="Arial" w:cs="Arial"/>
          <w:b/>
          <w:bCs/>
          <w:color w:val="FF0000"/>
        </w:rPr>
        <w:t>[</w:t>
      </w:r>
      <w:r>
        <w:rPr>
          <w:rFonts w:ascii="Arial" w:hAnsi="Arial" w:cs="Arial"/>
          <w:b/>
          <w:bCs/>
          <w:color w:val="FF0000"/>
        </w:rPr>
        <w:t>El área d</w:t>
      </w:r>
      <w:r w:rsidRPr="00ED710F">
        <w:rPr>
          <w:rFonts w:ascii="Arial" w:hAnsi="Arial" w:cs="Arial"/>
          <w:b/>
          <w:bCs/>
          <w:color w:val="FF0000"/>
        </w:rPr>
        <w:t>ebe estar separada y delimitada según lo exige la norma de habilitación de farmacias, decreto 31969-S, en su inciso 4.2.2.15.]</w:t>
      </w:r>
    </w:p>
    <w:p w14:paraId="5306FE04" w14:textId="1AE554E2" w:rsidR="00005B27" w:rsidRPr="00B80529" w:rsidRDefault="00005B27" w:rsidP="00005B2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[Para la adecuada elaboración de preparaciones magistrales u oficinales se debe contar </w:t>
      </w:r>
      <w:r w:rsidRPr="005F7750">
        <w:rPr>
          <w:rFonts w:ascii="Arial" w:hAnsi="Arial" w:cs="Arial"/>
          <w:b/>
          <w:bCs/>
          <w:color w:val="FF0000"/>
        </w:rPr>
        <w:t xml:space="preserve">como </w:t>
      </w:r>
      <w:r w:rsidRPr="00B80529">
        <w:rPr>
          <w:rFonts w:ascii="Arial" w:hAnsi="Arial" w:cs="Arial"/>
          <w:b/>
          <w:bCs/>
          <w:color w:val="FF0000"/>
        </w:rPr>
        <w:t>mínimo con las siguientes áreas definidas:</w:t>
      </w:r>
    </w:p>
    <w:p w14:paraId="4E4BB4CC" w14:textId="77777777" w:rsidR="00005B27" w:rsidRPr="00B80529" w:rsidRDefault="00005B27" w:rsidP="00005B27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B80529">
        <w:rPr>
          <w:rFonts w:ascii="Arial" w:hAnsi="Arial" w:cs="Arial"/>
          <w:b/>
          <w:bCs/>
          <w:color w:val="FF0000"/>
        </w:rPr>
        <w:t>Área de oficina.</w:t>
      </w:r>
    </w:p>
    <w:p w14:paraId="4963CBAD" w14:textId="48B012C8" w:rsidR="00005B27" w:rsidRPr="00B80529" w:rsidRDefault="00005B27" w:rsidP="00005B27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B80529">
        <w:rPr>
          <w:rFonts w:ascii="Arial" w:hAnsi="Arial" w:cs="Arial"/>
          <w:b/>
          <w:bCs/>
          <w:color w:val="FF0000"/>
        </w:rPr>
        <w:t>Área de vestidor</w:t>
      </w:r>
      <w:r w:rsidR="005F7750" w:rsidRPr="00B80529">
        <w:rPr>
          <w:rFonts w:ascii="Arial" w:hAnsi="Arial" w:cs="Arial"/>
          <w:b/>
          <w:bCs/>
          <w:color w:val="FF0000"/>
        </w:rPr>
        <w:t xml:space="preserve">. </w:t>
      </w:r>
      <w:r w:rsidRPr="00B80529">
        <w:rPr>
          <w:rFonts w:ascii="Arial" w:hAnsi="Arial" w:cs="Arial"/>
          <w:b/>
          <w:bCs/>
          <w:color w:val="FF0000"/>
        </w:rPr>
        <w:t xml:space="preserve">En esta área se realizará la respectiva colocación de la vestimenta establecida en el apartado “Vestimenta del personal”; </w:t>
      </w:r>
      <w:r w:rsidR="005F7750" w:rsidRPr="00B80529">
        <w:rPr>
          <w:rFonts w:ascii="Arial" w:hAnsi="Arial" w:cs="Arial"/>
          <w:b/>
          <w:bCs/>
          <w:color w:val="FF0000"/>
        </w:rPr>
        <w:t xml:space="preserve">la misma </w:t>
      </w:r>
      <w:r w:rsidRPr="00B80529">
        <w:rPr>
          <w:rFonts w:ascii="Arial" w:hAnsi="Arial" w:cs="Arial"/>
          <w:b/>
          <w:bCs/>
          <w:color w:val="FF0000"/>
        </w:rPr>
        <w:t>debe contar con un sitio (armario o estantería) para guardar la ropa de calle y objetos personales, manteniendo separadas la vestimenta sucia, limpia y de calle. Para la vestimenta desechable se debe contar con basureros con tapa para su respectiva colocación.</w:t>
      </w:r>
    </w:p>
    <w:p w14:paraId="14899653" w14:textId="3131A672" w:rsidR="00005B27" w:rsidRPr="00B80529" w:rsidRDefault="00005B27" w:rsidP="00005B27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B80529">
        <w:rPr>
          <w:rFonts w:ascii="Arial" w:hAnsi="Arial" w:cs="Arial"/>
          <w:b/>
          <w:bCs/>
          <w:color w:val="FF0000"/>
        </w:rPr>
        <w:t>Área de recepción, almacenamiento de materias primas y material de acondicionamiento. Todo debe estar delimitado y rotulado. Se debe contar con mobiliario adecuado, a fin de evitar su contaminación.</w:t>
      </w:r>
    </w:p>
    <w:p w14:paraId="7B579ECE" w14:textId="77777777" w:rsidR="00C90E15" w:rsidRDefault="00005B27" w:rsidP="00C90E15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Área de pesada, con mesa antivibración para la balanza.</w:t>
      </w:r>
    </w:p>
    <w:p w14:paraId="6C611C5E" w14:textId="75DB5BA4" w:rsidR="00C90E15" w:rsidRPr="00C90E15" w:rsidRDefault="00005B27" w:rsidP="00C90E15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C90E15">
        <w:rPr>
          <w:rFonts w:ascii="Arial" w:hAnsi="Arial" w:cs="Arial"/>
          <w:b/>
          <w:bCs/>
          <w:color w:val="FF0000"/>
        </w:rPr>
        <w:t>Área de elaboración, envasado y etiquetado.</w:t>
      </w:r>
      <w:r w:rsidR="00C90E15" w:rsidRPr="00C90E15">
        <w:rPr>
          <w:rFonts w:ascii="Arial" w:hAnsi="Arial" w:cs="Arial"/>
          <w:b/>
          <w:bCs/>
          <w:color w:val="FF0000"/>
        </w:rPr>
        <w:t xml:space="preserve"> </w:t>
      </w:r>
      <w:r w:rsidR="00C90E15" w:rsidRPr="005F7750">
        <w:rPr>
          <w:rFonts w:ascii="Arial" w:hAnsi="Arial" w:cs="Arial"/>
          <w:b/>
          <w:bCs/>
          <w:color w:val="FF0000"/>
        </w:rPr>
        <w:t>Mesas de preparación lisas, resistentes a los agentes desinfectantes, inerte a colorantes y sustancias agresivas.</w:t>
      </w:r>
    </w:p>
    <w:p w14:paraId="798BE520" w14:textId="14CF7534" w:rsidR="00005B27" w:rsidRDefault="00005B27" w:rsidP="00005B27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Área de lavado. </w:t>
      </w:r>
      <w:r w:rsidRPr="005F7750">
        <w:rPr>
          <w:rFonts w:ascii="Arial" w:hAnsi="Arial" w:cs="Arial"/>
          <w:b/>
          <w:bCs/>
          <w:color w:val="FF0000"/>
        </w:rPr>
        <w:t>Debe tener espacio para colocar el material sucio y una zona para el material limpio, con espacio acorde a la cantidad de material que se utiliza</w:t>
      </w:r>
      <w:r w:rsidR="005F7750">
        <w:rPr>
          <w:rFonts w:ascii="Arial" w:hAnsi="Arial" w:cs="Arial"/>
          <w:b/>
          <w:bCs/>
          <w:color w:val="FF0000"/>
        </w:rPr>
        <w:t>.</w:t>
      </w:r>
      <w:r w:rsidRPr="005F7750">
        <w:rPr>
          <w:rFonts w:ascii="Arial" w:hAnsi="Arial" w:cs="Arial"/>
          <w:b/>
          <w:bCs/>
          <w:color w:val="FF0000"/>
        </w:rPr>
        <w:t>]</w:t>
      </w:r>
    </w:p>
    <w:p w14:paraId="06E1E72D" w14:textId="77777777" w:rsidR="00005B27" w:rsidRPr="001A4F39" w:rsidRDefault="00005B27" w:rsidP="00005B2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1A4F39">
        <w:rPr>
          <w:rFonts w:ascii="Arial" w:hAnsi="Arial" w:cs="Arial"/>
          <w:b/>
          <w:bCs/>
          <w:color w:val="FF0000"/>
        </w:rPr>
        <w:t>[El regente farmacéutico debe establecer el tipo de condiciones del ambiente de trabajo, equipos, materias primas y envases más apropiados</w:t>
      </w:r>
      <w:r>
        <w:rPr>
          <w:rFonts w:ascii="Arial" w:hAnsi="Arial" w:cs="Arial"/>
          <w:b/>
          <w:bCs/>
          <w:color w:val="FF0000"/>
        </w:rPr>
        <w:t xml:space="preserve"> tomando en cuenta:</w:t>
      </w:r>
    </w:p>
    <w:p w14:paraId="236E6837" w14:textId="77777777" w:rsidR="00005B27" w:rsidRPr="001A4F39" w:rsidRDefault="00005B27" w:rsidP="00005B2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1A4F39">
        <w:rPr>
          <w:rFonts w:ascii="Arial" w:hAnsi="Arial" w:cs="Arial"/>
          <w:b/>
          <w:bCs/>
          <w:color w:val="FF0000"/>
        </w:rPr>
        <w:t>La forma farmacéutica a elaborar</w:t>
      </w:r>
    </w:p>
    <w:p w14:paraId="5DA0C8AA" w14:textId="77777777" w:rsidR="00005B27" w:rsidRPr="001A4F39" w:rsidRDefault="00005B27" w:rsidP="00005B2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1A4F39">
        <w:rPr>
          <w:rFonts w:ascii="Arial" w:hAnsi="Arial" w:cs="Arial"/>
          <w:b/>
          <w:bCs/>
          <w:color w:val="FF0000"/>
        </w:rPr>
        <w:t>El tipo de preparad</w:t>
      </w:r>
      <w:r>
        <w:rPr>
          <w:rFonts w:ascii="Arial" w:hAnsi="Arial" w:cs="Arial"/>
          <w:b/>
          <w:bCs/>
          <w:color w:val="FF0000"/>
        </w:rPr>
        <w:t>o</w:t>
      </w:r>
    </w:p>
    <w:p w14:paraId="7C3F14EB" w14:textId="77777777" w:rsidR="00005B27" w:rsidRPr="00623BF7" w:rsidRDefault="00005B27" w:rsidP="00005B2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623BF7">
        <w:rPr>
          <w:rFonts w:ascii="Arial" w:hAnsi="Arial" w:cs="Arial"/>
          <w:b/>
          <w:bCs/>
          <w:color w:val="FF0000"/>
        </w:rPr>
        <w:lastRenderedPageBreak/>
        <w:t>Esterilidad (no estéril, estéril, parenteral, entre otros)</w:t>
      </w:r>
    </w:p>
    <w:p w14:paraId="1B12828B" w14:textId="77777777" w:rsidR="00005B27" w:rsidRPr="00623BF7" w:rsidRDefault="00005B27" w:rsidP="00005B27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FF0000"/>
        </w:rPr>
      </w:pPr>
      <w:r w:rsidRPr="00623BF7">
        <w:rPr>
          <w:rFonts w:ascii="Arial" w:hAnsi="Arial" w:cs="Arial"/>
          <w:b/>
          <w:bCs/>
          <w:color w:val="FF0000"/>
        </w:rPr>
        <w:t>La cantidad que se elabora, o sea</w:t>
      </w:r>
      <w:r>
        <w:rPr>
          <w:rFonts w:ascii="Arial" w:hAnsi="Arial" w:cs="Arial"/>
          <w:b/>
          <w:bCs/>
          <w:color w:val="FF0000"/>
        </w:rPr>
        <w:t>,</w:t>
      </w:r>
      <w:r w:rsidRPr="00623BF7">
        <w:rPr>
          <w:rFonts w:ascii="Arial" w:hAnsi="Arial" w:cs="Arial"/>
          <w:b/>
          <w:bCs/>
          <w:color w:val="FF0000"/>
        </w:rPr>
        <w:t xml:space="preserve"> al número de unidades, peso o volumen.]</w:t>
      </w:r>
      <w:r w:rsidRPr="00623BF7">
        <w:rPr>
          <w:rFonts w:ascii="Arial" w:hAnsi="Arial" w:cs="Arial"/>
          <w:color w:val="FF0000"/>
        </w:rPr>
        <w:t xml:space="preserve"> </w:t>
      </w:r>
    </w:p>
    <w:p w14:paraId="3026DC0C" w14:textId="77777777" w:rsidR="00005B27" w:rsidRPr="00D20985" w:rsidRDefault="00005B27" w:rsidP="00B80529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[</w:t>
      </w:r>
      <w:r w:rsidRPr="00623BF7">
        <w:rPr>
          <w:rFonts w:ascii="Arial" w:hAnsi="Arial" w:cs="Arial"/>
          <w:b/>
          <w:bCs/>
          <w:color w:val="FF0000"/>
        </w:rPr>
        <w:t xml:space="preserve">Las instalaciones deberán tener un espacio adecuado que está designado </w:t>
      </w:r>
      <w:r w:rsidRPr="00D20985">
        <w:rPr>
          <w:rFonts w:ascii="Arial" w:hAnsi="Arial" w:cs="Arial"/>
          <w:b/>
          <w:bCs/>
          <w:color w:val="FF0000"/>
        </w:rPr>
        <w:t>específicamente para la preparación. Este espacio tendrá la disposición ordenada de los equipos y materiales para evitar confusiones entre l</w:t>
      </w:r>
      <w:r>
        <w:rPr>
          <w:rFonts w:ascii="Arial" w:hAnsi="Arial" w:cs="Arial"/>
          <w:b/>
          <w:bCs/>
          <w:color w:val="FF0000"/>
        </w:rPr>
        <w:t>as materias primas</w:t>
      </w:r>
      <w:r w:rsidRPr="00D20985">
        <w:rPr>
          <w:rFonts w:ascii="Arial" w:hAnsi="Arial" w:cs="Arial"/>
          <w:b/>
          <w:bCs/>
          <w:color w:val="FF0000"/>
        </w:rPr>
        <w:t>, envases, etiquetas, materiales en proceso y producto terminado</w:t>
      </w:r>
      <w:r>
        <w:rPr>
          <w:rFonts w:ascii="Arial" w:hAnsi="Arial" w:cs="Arial"/>
          <w:b/>
          <w:bCs/>
          <w:color w:val="FF0000"/>
        </w:rPr>
        <w:t>,</w:t>
      </w:r>
      <w:r w:rsidRPr="00D20985">
        <w:rPr>
          <w:rFonts w:ascii="Arial" w:hAnsi="Arial" w:cs="Arial"/>
          <w:b/>
          <w:bCs/>
          <w:color w:val="FF0000"/>
        </w:rPr>
        <w:t xml:space="preserve"> y está diseñado, dispuesto, y se utiliza para prevenir la contaminación cruzada </w:t>
      </w:r>
      <w:r w:rsidRPr="00E86D5B">
        <w:rPr>
          <w:rFonts w:ascii="Arial" w:hAnsi="Arial" w:cs="Arial"/>
          <w:b/>
          <w:bCs/>
          <w:strike/>
          <w:color w:val="FF0000"/>
        </w:rPr>
        <w:t>accidental</w:t>
      </w:r>
      <w:r w:rsidRPr="00D20985">
        <w:rPr>
          <w:rFonts w:ascii="Arial" w:hAnsi="Arial" w:cs="Arial"/>
          <w:b/>
          <w:bCs/>
          <w:color w:val="FF0000"/>
        </w:rPr>
        <w:t>. Las áreas utilizadas para preparaciones estériles deben estar separadas</w:t>
      </w:r>
      <w:r>
        <w:rPr>
          <w:rFonts w:ascii="Arial" w:hAnsi="Arial" w:cs="Arial"/>
          <w:b/>
          <w:bCs/>
          <w:color w:val="FF0000"/>
        </w:rPr>
        <w:t xml:space="preserve"> con esclusas</w:t>
      </w:r>
      <w:r w:rsidRPr="00D20985">
        <w:rPr>
          <w:rFonts w:ascii="Arial" w:hAnsi="Arial" w:cs="Arial"/>
          <w:b/>
          <w:bCs/>
          <w:color w:val="FF0000"/>
        </w:rPr>
        <w:t xml:space="preserve"> y distintas de la zona de mezcla no estéril.</w:t>
      </w:r>
    </w:p>
    <w:p w14:paraId="5DD4921F" w14:textId="77777777" w:rsidR="00005B27" w:rsidRPr="00D20985" w:rsidRDefault="00005B27" w:rsidP="00005B2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D20985">
        <w:rPr>
          <w:rFonts w:ascii="Arial" w:hAnsi="Arial" w:cs="Arial"/>
          <w:b/>
          <w:bCs/>
          <w:color w:val="FF0000"/>
        </w:rPr>
        <w:t>El profesional farmacéutico debe tener conciencia y usar su criterio profesional sobre los siguientes puntos para cada preparación magistral</w:t>
      </w:r>
      <w:r>
        <w:rPr>
          <w:rFonts w:ascii="Arial" w:hAnsi="Arial" w:cs="Arial"/>
          <w:b/>
          <w:bCs/>
          <w:color w:val="FF0000"/>
        </w:rPr>
        <w:t xml:space="preserve"> y oficinal</w:t>
      </w:r>
      <w:r w:rsidRPr="00D20985">
        <w:rPr>
          <w:rFonts w:ascii="Arial" w:hAnsi="Arial" w:cs="Arial"/>
          <w:b/>
          <w:bCs/>
          <w:color w:val="FF0000"/>
        </w:rPr>
        <w:t xml:space="preserve"> a elaborar:</w:t>
      </w:r>
    </w:p>
    <w:p w14:paraId="3EF6A054" w14:textId="77777777" w:rsidR="00005B27" w:rsidRPr="00D20985" w:rsidRDefault="00005B27" w:rsidP="00005B27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D20985">
        <w:rPr>
          <w:rFonts w:ascii="Arial" w:hAnsi="Arial" w:cs="Arial"/>
          <w:b/>
          <w:bCs/>
          <w:color w:val="FF0000"/>
        </w:rPr>
        <w:t>Grado de dificultad o complejidad del proceso de elaboración.</w:t>
      </w:r>
    </w:p>
    <w:p w14:paraId="16719407" w14:textId="77777777" w:rsidR="00005B27" w:rsidRPr="00D20985" w:rsidRDefault="00005B27" w:rsidP="00005B27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D20985">
        <w:rPr>
          <w:rFonts w:ascii="Arial" w:hAnsi="Arial" w:cs="Arial"/>
          <w:b/>
          <w:bCs/>
          <w:color w:val="FF0000"/>
        </w:rPr>
        <w:t xml:space="preserve">Información y precauciones de </w:t>
      </w:r>
      <w:r w:rsidRPr="00B6117F">
        <w:rPr>
          <w:rFonts w:ascii="Arial" w:hAnsi="Arial" w:cs="Arial"/>
          <w:b/>
          <w:bCs/>
          <w:color w:val="FF0000"/>
        </w:rPr>
        <w:t>estabilidad.</w:t>
      </w:r>
    </w:p>
    <w:p w14:paraId="1E489E65" w14:textId="77777777" w:rsidR="00005B27" w:rsidRPr="00D20985" w:rsidRDefault="00005B27" w:rsidP="00005B27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D20985">
        <w:rPr>
          <w:rFonts w:ascii="Arial" w:hAnsi="Arial" w:cs="Arial"/>
          <w:b/>
          <w:bCs/>
          <w:color w:val="FF0000"/>
        </w:rPr>
        <w:t>Requerimientos de empaque y almacenamiento.</w:t>
      </w:r>
    </w:p>
    <w:p w14:paraId="62F157F7" w14:textId="77777777" w:rsidR="00005B27" w:rsidRPr="00D20985" w:rsidRDefault="00005B27" w:rsidP="00005B27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D20985">
        <w:rPr>
          <w:rFonts w:ascii="Arial" w:hAnsi="Arial" w:cs="Arial"/>
          <w:b/>
          <w:bCs/>
          <w:color w:val="FF0000"/>
        </w:rPr>
        <w:t>Forma farmacéutica.</w:t>
      </w:r>
    </w:p>
    <w:p w14:paraId="5FC87F50" w14:textId="77777777" w:rsidR="00005B27" w:rsidRPr="00D20985" w:rsidRDefault="00005B27" w:rsidP="00005B27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D20985">
        <w:rPr>
          <w:rFonts w:ascii="Arial" w:hAnsi="Arial" w:cs="Arial"/>
          <w:b/>
          <w:bCs/>
          <w:color w:val="FF0000"/>
        </w:rPr>
        <w:t>Complejidad de los cálculos.</w:t>
      </w:r>
    </w:p>
    <w:p w14:paraId="29C8FF13" w14:textId="77777777" w:rsidR="00005B27" w:rsidRPr="00D20985" w:rsidRDefault="00005B27" w:rsidP="00005B27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D20985">
        <w:rPr>
          <w:rFonts w:ascii="Arial" w:hAnsi="Arial" w:cs="Arial"/>
          <w:b/>
          <w:bCs/>
          <w:color w:val="FF0000"/>
        </w:rPr>
        <w:t>Disposición biológica del medicamento (local o sistémica).</w:t>
      </w:r>
    </w:p>
    <w:p w14:paraId="1EEE3BAB" w14:textId="77777777" w:rsidR="00005B27" w:rsidRPr="00D20985" w:rsidRDefault="00005B27" w:rsidP="00005B27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D20985">
        <w:rPr>
          <w:rFonts w:ascii="Arial" w:hAnsi="Arial" w:cs="Arial"/>
          <w:b/>
          <w:bCs/>
          <w:color w:val="FF0000"/>
        </w:rPr>
        <w:t>Nivel de riesgo hacia el preparador.</w:t>
      </w:r>
    </w:p>
    <w:p w14:paraId="3473D8B4" w14:textId="77777777" w:rsidR="00005B27" w:rsidRPr="00D20985" w:rsidRDefault="00005B27" w:rsidP="00005B27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D20985">
        <w:rPr>
          <w:rFonts w:ascii="Arial" w:hAnsi="Arial" w:cs="Arial"/>
          <w:b/>
          <w:bCs/>
          <w:color w:val="FF0000"/>
        </w:rPr>
        <w:t>Riesgo potencial de daño al paciente.</w:t>
      </w:r>
      <w:r>
        <w:rPr>
          <w:rFonts w:ascii="Arial" w:hAnsi="Arial" w:cs="Arial"/>
          <w:b/>
          <w:bCs/>
          <w:color w:val="FF0000"/>
        </w:rPr>
        <w:t>]</w:t>
      </w:r>
    </w:p>
    <w:p w14:paraId="5B4D331A" w14:textId="77777777" w:rsidR="00005B27" w:rsidRPr="00E41A24" w:rsidRDefault="00005B27" w:rsidP="00005B27">
      <w:pPr>
        <w:spacing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[</w:t>
      </w:r>
      <w:r w:rsidRPr="00E41A24">
        <w:rPr>
          <w:rFonts w:ascii="Arial" w:hAnsi="Arial" w:cs="Arial"/>
          <w:b/>
          <w:bCs/>
          <w:color w:val="FF0000"/>
        </w:rPr>
        <w:t xml:space="preserve">Categorías de complejidad de </w:t>
      </w:r>
      <w:r>
        <w:rPr>
          <w:rFonts w:ascii="Arial" w:hAnsi="Arial" w:cs="Arial"/>
          <w:b/>
          <w:bCs/>
          <w:color w:val="FF0000"/>
        </w:rPr>
        <w:t xml:space="preserve">las </w:t>
      </w:r>
      <w:r w:rsidRPr="00E41A24">
        <w:rPr>
          <w:rFonts w:ascii="Arial" w:hAnsi="Arial" w:cs="Arial"/>
          <w:b/>
          <w:bCs/>
          <w:color w:val="FF0000"/>
        </w:rPr>
        <w:t xml:space="preserve">preparaciones </w:t>
      </w:r>
    </w:p>
    <w:p w14:paraId="3BAE51C0" w14:textId="77777777" w:rsidR="00005B27" w:rsidRPr="00E41A24" w:rsidRDefault="00005B27" w:rsidP="00005B2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 xml:space="preserve">Simples: </w:t>
      </w:r>
      <w:r>
        <w:rPr>
          <w:rFonts w:ascii="Arial" w:hAnsi="Arial" w:cs="Arial"/>
          <w:b/>
          <w:bCs/>
          <w:color w:val="FF0000"/>
        </w:rPr>
        <w:t>se cuenta con s</w:t>
      </w:r>
      <w:r w:rsidRPr="00E41A24">
        <w:rPr>
          <w:rFonts w:ascii="Arial" w:hAnsi="Arial" w:cs="Arial"/>
          <w:b/>
          <w:bCs/>
          <w:color w:val="FF0000"/>
        </w:rPr>
        <w:t>uficiente información respecto al producto, proceso, componentes y su estabilidad.</w:t>
      </w:r>
    </w:p>
    <w:p w14:paraId="2982FC68" w14:textId="77777777" w:rsidR="00005B27" w:rsidRPr="00E41A24" w:rsidRDefault="00005B27" w:rsidP="00005B2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 xml:space="preserve">Moderadas: </w:t>
      </w:r>
      <w:r>
        <w:rPr>
          <w:rFonts w:ascii="Arial" w:hAnsi="Arial" w:cs="Arial"/>
          <w:b/>
          <w:bCs/>
          <w:color w:val="FF0000"/>
        </w:rPr>
        <w:t>r</w:t>
      </w:r>
      <w:r w:rsidRPr="00E41A24">
        <w:rPr>
          <w:rFonts w:ascii="Arial" w:hAnsi="Arial" w:cs="Arial"/>
          <w:b/>
          <w:bCs/>
          <w:color w:val="FF0000"/>
        </w:rPr>
        <w:t>equiere de cálculos o procedimientos especiales, no hay información respecto a la estabilidad del producto específico.</w:t>
      </w:r>
    </w:p>
    <w:p w14:paraId="410324FB" w14:textId="2119EA77" w:rsidR="000A63B6" w:rsidRDefault="00005B27" w:rsidP="00005B27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 xml:space="preserve">Complejas: </w:t>
      </w:r>
      <w:r>
        <w:rPr>
          <w:rFonts w:ascii="Arial" w:hAnsi="Arial" w:cs="Arial"/>
          <w:b/>
          <w:bCs/>
          <w:color w:val="FF0000"/>
        </w:rPr>
        <w:t>r</w:t>
      </w:r>
      <w:r w:rsidRPr="00E41A24">
        <w:rPr>
          <w:rFonts w:ascii="Arial" w:hAnsi="Arial" w:cs="Arial"/>
          <w:b/>
          <w:bCs/>
          <w:color w:val="FF0000"/>
        </w:rPr>
        <w:t>equiere de entrenamiento especial, ambiente, instalaciones, equipos, y procedimientos que aseguren un resultado terapéutico apropiado.</w:t>
      </w:r>
    </w:p>
    <w:p w14:paraId="333215B0" w14:textId="3BEFFD98" w:rsidR="000A63B6" w:rsidRPr="007F6CDE" w:rsidRDefault="00C90E15" w:rsidP="00BF35A7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CR" w:eastAsia="es-ES"/>
        </w:rPr>
      </w:pPr>
      <w:r w:rsidRPr="004C70B6">
        <w:rPr>
          <w:rFonts w:ascii="Arial" w:hAnsi="Arial" w:cs="Arial"/>
          <w:b/>
          <w:bCs/>
          <w:color w:val="FF0000"/>
        </w:rPr>
        <w:t>El encargado de realizar la preparación magistral u oficinal es responsable de que las preparaciones que elabora tengan la potencia, la calidad y la pureza adecuada, y que sean realizadas de acuerdo con la prescripción. El regente farmacéutico es responsable de la dispensación de la preparación acabada, con el empaque y el etiquetado adecuados, y el cumplimiento de los requisitos establecidos por el Ministerio de Salud y el Colegio de Farmacéuticos.]</w:t>
      </w:r>
    </w:p>
    <w:p w14:paraId="4A43BDDA" w14:textId="77777777" w:rsidR="0062093D" w:rsidRPr="007F6CDE" w:rsidRDefault="0062093D" w:rsidP="00BF35A7">
      <w:pPr>
        <w:spacing w:after="0" w:line="276" w:lineRule="auto"/>
        <w:jc w:val="both"/>
        <w:rPr>
          <w:rFonts w:ascii="Arial" w:eastAsia="Times New Roman" w:hAnsi="Arial" w:cs="Arial"/>
          <w:b/>
          <w:lang w:val="es-CR" w:eastAsia="es-ES"/>
        </w:rPr>
      </w:pPr>
    </w:p>
    <w:p w14:paraId="0BB98030" w14:textId="70BF32E9" w:rsidR="0094406A" w:rsidRDefault="00D93BFC" w:rsidP="0094406A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lastRenderedPageBreak/>
        <w:t>Procedimiento</w:t>
      </w:r>
    </w:p>
    <w:p w14:paraId="721117EB" w14:textId="77777777" w:rsidR="005F7750" w:rsidRPr="0094406A" w:rsidRDefault="005F7750" w:rsidP="005F7750">
      <w:pPr>
        <w:pStyle w:val="ListParagraph"/>
        <w:spacing w:line="276" w:lineRule="auto"/>
        <w:rPr>
          <w:rFonts w:ascii="Arial" w:hAnsi="Arial" w:cs="Arial"/>
          <w:b/>
          <w:lang w:val="es-CR"/>
        </w:rPr>
      </w:pPr>
    </w:p>
    <w:p w14:paraId="31648BDC" w14:textId="147133CA" w:rsidR="002564CF" w:rsidRPr="00C90E15" w:rsidRDefault="00C90E15" w:rsidP="00C90E15">
      <w:pPr>
        <w:pStyle w:val="ListParagraph"/>
        <w:numPr>
          <w:ilvl w:val="1"/>
          <w:numId w:val="20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val="es-CR" w:eastAsia="es-ES"/>
        </w:rPr>
      </w:pPr>
      <w:r w:rsidRPr="00C90E15">
        <w:rPr>
          <w:rFonts w:ascii="Arial" w:hAnsi="Arial" w:cs="Arial"/>
          <w:b/>
          <w:bCs/>
        </w:rPr>
        <w:t>Recepción e interpretación de la prescripción</w:t>
      </w:r>
    </w:p>
    <w:p w14:paraId="55DC93CA" w14:textId="77777777" w:rsidR="00C90E15" w:rsidRPr="00C90E15" w:rsidRDefault="00C90E15" w:rsidP="00C90E15">
      <w:pPr>
        <w:spacing w:after="0" w:line="276" w:lineRule="auto"/>
        <w:jc w:val="both"/>
        <w:rPr>
          <w:rFonts w:ascii="Arial" w:eastAsia="Times New Roman" w:hAnsi="Arial" w:cs="Arial"/>
          <w:lang w:val="es-CR" w:eastAsia="es-ES"/>
        </w:rPr>
      </w:pPr>
    </w:p>
    <w:p w14:paraId="7F28BD39" w14:textId="01FB7248" w:rsidR="00BE781B" w:rsidRDefault="00C90E15" w:rsidP="00BF35A7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  <w:r w:rsidRPr="002329ED">
        <w:rPr>
          <w:rFonts w:ascii="Arial" w:hAnsi="Arial" w:cs="Arial"/>
          <w:b/>
          <w:bCs/>
          <w:color w:val="FF0000"/>
        </w:rPr>
        <w:t>[</w:t>
      </w:r>
      <w:r>
        <w:rPr>
          <w:rFonts w:ascii="Arial" w:hAnsi="Arial" w:cs="Arial"/>
          <w:b/>
          <w:bCs/>
          <w:color w:val="FF0000"/>
        </w:rPr>
        <w:t>Indicar el paso a paso del proceso de recepción e interpretación de las prescripciones de preparaciones magistrales, s</w:t>
      </w:r>
      <w:r w:rsidRPr="002329ED">
        <w:rPr>
          <w:rFonts w:ascii="Arial" w:hAnsi="Arial" w:cs="Arial"/>
          <w:b/>
          <w:bCs/>
          <w:color w:val="FF0000"/>
        </w:rPr>
        <w:t xml:space="preserve">egún lo que indique el </w:t>
      </w:r>
      <w:r>
        <w:rPr>
          <w:rFonts w:ascii="Arial" w:hAnsi="Arial" w:cs="Arial"/>
          <w:b/>
          <w:bCs/>
          <w:color w:val="FF0000"/>
        </w:rPr>
        <w:t>“P</w:t>
      </w:r>
      <w:r w:rsidRPr="002329ED">
        <w:rPr>
          <w:rFonts w:ascii="Arial" w:hAnsi="Arial" w:cs="Arial"/>
          <w:b/>
          <w:bCs/>
          <w:color w:val="FF0000"/>
        </w:rPr>
        <w:t>ro</w:t>
      </w:r>
      <w:r w:rsidR="00E37CAE">
        <w:rPr>
          <w:rFonts w:ascii="Arial" w:hAnsi="Arial" w:cs="Arial"/>
          <w:b/>
          <w:bCs/>
          <w:color w:val="FF0000"/>
        </w:rPr>
        <w:t>cedimiento</w:t>
      </w:r>
      <w:r w:rsidRPr="002329ED">
        <w:rPr>
          <w:rFonts w:ascii="Arial" w:hAnsi="Arial" w:cs="Arial"/>
          <w:b/>
          <w:bCs/>
          <w:color w:val="FF0000"/>
        </w:rPr>
        <w:t xml:space="preserve"> para dispensación</w:t>
      </w:r>
      <w:r>
        <w:rPr>
          <w:rFonts w:ascii="Arial" w:hAnsi="Arial" w:cs="Arial"/>
          <w:b/>
          <w:bCs/>
          <w:color w:val="FF0000"/>
        </w:rPr>
        <w:t xml:space="preserve"> y etiquetado</w:t>
      </w:r>
      <w:r w:rsidRPr="002329ED">
        <w:rPr>
          <w:rFonts w:ascii="Arial" w:hAnsi="Arial" w:cs="Arial"/>
          <w:b/>
          <w:bCs/>
          <w:color w:val="FF0000"/>
        </w:rPr>
        <w:t xml:space="preserve"> de </w:t>
      </w:r>
      <w:r>
        <w:rPr>
          <w:rFonts w:ascii="Arial" w:hAnsi="Arial" w:cs="Arial"/>
          <w:b/>
          <w:bCs/>
          <w:color w:val="FF0000"/>
        </w:rPr>
        <w:t>medicamentos de la farmacia”</w:t>
      </w:r>
      <w:r w:rsidRPr="002329ED">
        <w:rPr>
          <w:rFonts w:ascii="Arial" w:hAnsi="Arial" w:cs="Arial"/>
          <w:b/>
          <w:bCs/>
          <w:color w:val="FF0000"/>
        </w:rPr>
        <w:t>.]</w:t>
      </w:r>
    </w:p>
    <w:p w14:paraId="14F7FA68" w14:textId="084E2D52" w:rsidR="00C90E15" w:rsidRDefault="00C90E15" w:rsidP="00BF35A7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553F4495" w14:textId="77777777" w:rsidR="009E6CC1" w:rsidRDefault="00C90E15" w:rsidP="00C90E15">
      <w:pPr>
        <w:pStyle w:val="ListParagraph"/>
        <w:numPr>
          <w:ilvl w:val="1"/>
          <w:numId w:val="20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C90E15">
        <w:rPr>
          <w:rFonts w:ascii="Arial" w:hAnsi="Arial" w:cs="Arial"/>
          <w:b/>
          <w:bCs/>
        </w:rPr>
        <w:t>Limpieza</w:t>
      </w:r>
    </w:p>
    <w:p w14:paraId="3F562402" w14:textId="77777777" w:rsidR="009E6CC1" w:rsidRDefault="009E6CC1" w:rsidP="009E6CC1">
      <w:pPr>
        <w:pStyle w:val="ListParagraph"/>
        <w:numPr>
          <w:ilvl w:val="2"/>
          <w:numId w:val="20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Á</w:t>
      </w:r>
      <w:r w:rsidR="00C90E15" w:rsidRPr="00C90E15">
        <w:rPr>
          <w:rFonts w:ascii="Arial" w:hAnsi="Arial" w:cs="Arial"/>
          <w:b/>
          <w:bCs/>
        </w:rPr>
        <w:t>rea de preparación</w:t>
      </w:r>
    </w:p>
    <w:p w14:paraId="7C2BD87B" w14:textId="58FA5A3F" w:rsidR="00C90E15" w:rsidRPr="009E6CC1" w:rsidRDefault="00C90E15" w:rsidP="009E6CC1">
      <w:pPr>
        <w:spacing w:line="276" w:lineRule="auto"/>
        <w:jc w:val="both"/>
        <w:rPr>
          <w:rFonts w:ascii="Arial" w:hAnsi="Arial" w:cs="Arial"/>
          <w:b/>
          <w:bCs/>
        </w:rPr>
      </w:pPr>
      <w:r w:rsidRPr="009E6CC1">
        <w:rPr>
          <w:rFonts w:ascii="Arial" w:hAnsi="Arial" w:cs="Arial"/>
          <w:b/>
          <w:bCs/>
          <w:color w:val="FF0000"/>
        </w:rPr>
        <w:t>[Indicar el paso a paso del proceso de limpieza, según lo que indique el “Pro</w:t>
      </w:r>
      <w:r w:rsidR="00E37CAE">
        <w:rPr>
          <w:rFonts w:ascii="Arial" w:hAnsi="Arial" w:cs="Arial"/>
          <w:b/>
          <w:bCs/>
          <w:color w:val="FF0000"/>
        </w:rPr>
        <w:t>cedimiento</w:t>
      </w:r>
      <w:r w:rsidRPr="009E6CC1">
        <w:rPr>
          <w:rFonts w:ascii="Arial" w:hAnsi="Arial" w:cs="Arial"/>
          <w:b/>
          <w:bCs/>
          <w:color w:val="FF0000"/>
        </w:rPr>
        <w:t xml:space="preserve"> para la limpieza de las diferentes áreas de la farmacia”.]</w:t>
      </w:r>
    </w:p>
    <w:p w14:paraId="4157C909" w14:textId="51E84F7F" w:rsidR="009E6CC1" w:rsidRPr="009E6CC1" w:rsidRDefault="009E6CC1" w:rsidP="009E6CC1">
      <w:pPr>
        <w:pStyle w:val="ListParagraph"/>
        <w:numPr>
          <w:ilvl w:val="2"/>
          <w:numId w:val="20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E6CC1">
        <w:rPr>
          <w:rFonts w:ascii="Arial" w:hAnsi="Arial" w:cs="Arial"/>
          <w:b/>
          <w:bCs/>
        </w:rPr>
        <w:t>Equipos y utensilios</w:t>
      </w:r>
    </w:p>
    <w:p w14:paraId="694C1091" w14:textId="4A5A925C" w:rsidR="009E6CC1" w:rsidRPr="009E6CC1" w:rsidRDefault="009E6CC1" w:rsidP="009E6CC1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9E6CC1">
        <w:rPr>
          <w:rFonts w:ascii="Arial" w:hAnsi="Arial" w:cs="Arial"/>
          <w:b/>
          <w:bCs/>
          <w:color w:val="FF0000"/>
        </w:rPr>
        <w:t>[Indicar el paso a paso del proceso de limpieza</w:t>
      </w:r>
      <w:r>
        <w:rPr>
          <w:rFonts w:ascii="Arial" w:hAnsi="Arial" w:cs="Arial"/>
          <w:b/>
          <w:bCs/>
          <w:color w:val="FF0000"/>
        </w:rPr>
        <w:t xml:space="preserve"> de cada equipo y utensilios que se utilizan</w:t>
      </w:r>
      <w:r w:rsidRPr="009E6CC1">
        <w:rPr>
          <w:rFonts w:ascii="Arial" w:hAnsi="Arial" w:cs="Arial"/>
          <w:b/>
          <w:bCs/>
          <w:color w:val="FF0000"/>
        </w:rPr>
        <w:t>.]</w:t>
      </w:r>
    </w:p>
    <w:p w14:paraId="2830C265" w14:textId="77777777" w:rsidR="0094406A" w:rsidRPr="0094406A" w:rsidRDefault="0094406A" w:rsidP="0094406A">
      <w:pPr>
        <w:pStyle w:val="ListParagraph"/>
        <w:numPr>
          <w:ilvl w:val="1"/>
          <w:numId w:val="20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94406A">
        <w:rPr>
          <w:rFonts w:ascii="Arial" w:hAnsi="Arial" w:cs="Arial"/>
          <w:b/>
          <w:bCs/>
        </w:rPr>
        <w:t>Verificación previa</w:t>
      </w:r>
    </w:p>
    <w:p w14:paraId="7DE7C45E" w14:textId="483098EE" w:rsidR="0094406A" w:rsidRPr="0094406A" w:rsidRDefault="0094406A" w:rsidP="0094406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26C0EEC" w14:textId="51AF202B" w:rsidR="0094406A" w:rsidRPr="00C90E15" w:rsidRDefault="0094406A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C90E15">
        <w:rPr>
          <w:rFonts w:ascii="Arial" w:hAnsi="Arial" w:cs="Arial"/>
          <w:b/>
          <w:bCs/>
          <w:color w:val="FF0000"/>
        </w:rPr>
        <w:t xml:space="preserve">[Indicar el paso a paso del proceso de </w:t>
      </w:r>
      <w:r>
        <w:rPr>
          <w:rFonts w:ascii="Arial" w:hAnsi="Arial" w:cs="Arial"/>
          <w:b/>
          <w:bCs/>
          <w:color w:val="FF0000"/>
        </w:rPr>
        <w:t>verificación general previo al ingreso al área de preparación para evitar salidas, reingresos del personal o problemas prevenibles que podrían exponer el producto a contaminación o riesgos innecesarios</w:t>
      </w:r>
      <w:r w:rsidRPr="00C90E15">
        <w:rPr>
          <w:rFonts w:ascii="Arial" w:hAnsi="Arial" w:cs="Arial"/>
          <w:b/>
          <w:bCs/>
          <w:color w:val="FF0000"/>
        </w:rPr>
        <w:t>.]</w:t>
      </w:r>
    </w:p>
    <w:p w14:paraId="2F3CD4C2" w14:textId="7C937A16" w:rsidR="00C90E15" w:rsidRPr="0094406A" w:rsidRDefault="00C90E15" w:rsidP="00BF35A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0BF8AA3" w14:textId="1153AF88" w:rsidR="00C90E15" w:rsidRPr="0094406A" w:rsidRDefault="00C90E15" w:rsidP="0094406A">
      <w:pPr>
        <w:pStyle w:val="ListParagraph"/>
        <w:numPr>
          <w:ilvl w:val="1"/>
          <w:numId w:val="20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94406A">
        <w:rPr>
          <w:rFonts w:ascii="Arial" w:hAnsi="Arial" w:cs="Arial"/>
          <w:b/>
          <w:bCs/>
        </w:rPr>
        <w:t>Colocación de vestimenta</w:t>
      </w:r>
    </w:p>
    <w:p w14:paraId="5281AABA" w14:textId="77777777" w:rsidR="00C90E15" w:rsidRPr="0094406A" w:rsidRDefault="00C90E15" w:rsidP="00C90E15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AD3856E" w14:textId="63C28C5D" w:rsidR="00C90E15" w:rsidRDefault="00C90E15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C90E15">
        <w:rPr>
          <w:rFonts w:ascii="Arial" w:hAnsi="Arial" w:cs="Arial"/>
          <w:b/>
          <w:bCs/>
          <w:color w:val="FF0000"/>
        </w:rPr>
        <w:t xml:space="preserve">[Indicar el paso a paso del proceso de </w:t>
      </w:r>
      <w:r w:rsidR="0094406A">
        <w:rPr>
          <w:rFonts w:ascii="Arial" w:hAnsi="Arial" w:cs="Arial"/>
          <w:b/>
          <w:bCs/>
          <w:color w:val="FF0000"/>
        </w:rPr>
        <w:t>colocación de la vestimenta, incluido el lavado de manos</w:t>
      </w:r>
      <w:r w:rsidRPr="00C90E15">
        <w:rPr>
          <w:rFonts w:ascii="Arial" w:hAnsi="Arial" w:cs="Arial"/>
          <w:b/>
          <w:bCs/>
          <w:color w:val="FF0000"/>
        </w:rPr>
        <w:t>.]</w:t>
      </w:r>
    </w:p>
    <w:p w14:paraId="07DAD237" w14:textId="77777777" w:rsidR="005F7750" w:rsidRDefault="005F7750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14026881" w14:textId="69CEA249" w:rsidR="0094406A" w:rsidRPr="0094406A" w:rsidRDefault="0094406A" w:rsidP="0094406A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4406A">
        <w:rPr>
          <w:rFonts w:ascii="Arial" w:hAnsi="Arial" w:cs="Arial"/>
          <w:b/>
          <w:bCs/>
        </w:rPr>
        <w:t>Elaboración</w:t>
      </w:r>
    </w:p>
    <w:p w14:paraId="3734C567" w14:textId="0D8308C0" w:rsidR="0094406A" w:rsidRDefault="0094406A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94406A">
        <w:rPr>
          <w:rFonts w:ascii="Arial" w:hAnsi="Arial" w:cs="Arial"/>
          <w:b/>
          <w:bCs/>
          <w:color w:val="FF0000"/>
        </w:rPr>
        <w:t>[Indicar el procedimiento a seguir paso a paso para que, partiendo de la recepción de la prescripción se llegue a obtener una preparación magistral u oficinal que cumpla con la calidad, seguridad y eficacia necesaria para brindar salud a un paciente.]</w:t>
      </w:r>
    </w:p>
    <w:p w14:paraId="76F358FB" w14:textId="70A98DF7" w:rsidR="00DB1785" w:rsidRDefault="00DB1785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33B83571" w14:textId="77777777" w:rsidR="00DB1785" w:rsidRDefault="00DB1785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405E5DF4" w14:textId="1C657BDC" w:rsidR="0094406A" w:rsidRPr="0094406A" w:rsidRDefault="0094406A" w:rsidP="0094406A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4406A">
        <w:rPr>
          <w:rFonts w:ascii="Arial" w:hAnsi="Arial" w:cs="Arial"/>
          <w:b/>
          <w:bCs/>
        </w:rPr>
        <w:lastRenderedPageBreak/>
        <w:t>Etiquetado</w:t>
      </w:r>
    </w:p>
    <w:p w14:paraId="5EE2BAA6" w14:textId="77777777" w:rsidR="0094406A" w:rsidRPr="00E41A24" w:rsidRDefault="0094406A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 xml:space="preserve">[Indicar el procedimiento a seguir paso a paso para </w:t>
      </w:r>
      <w:r>
        <w:rPr>
          <w:rFonts w:ascii="Arial" w:hAnsi="Arial" w:cs="Arial"/>
          <w:b/>
          <w:bCs/>
          <w:color w:val="FF0000"/>
        </w:rPr>
        <w:t>realizar la etiqueta</w:t>
      </w:r>
      <w:r w:rsidRPr="00E41A24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con al menos la </w:t>
      </w:r>
      <w:r w:rsidRPr="00E41A24">
        <w:rPr>
          <w:rFonts w:ascii="Arial" w:hAnsi="Arial" w:cs="Arial"/>
          <w:b/>
          <w:bCs/>
          <w:color w:val="FF0000"/>
        </w:rPr>
        <w:t>información mínima que deben consignar l</w:t>
      </w:r>
      <w:r>
        <w:rPr>
          <w:rFonts w:ascii="Arial" w:hAnsi="Arial" w:cs="Arial"/>
          <w:b/>
          <w:bCs/>
          <w:color w:val="FF0000"/>
        </w:rPr>
        <w:t>as preparaciones</w:t>
      </w:r>
      <w:r w:rsidRPr="00E41A24">
        <w:rPr>
          <w:rFonts w:ascii="Arial" w:hAnsi="Arial" w:cs="Arial"/>
          <w:b/>
          <w:bCs/>
          <w:color w:val="FF0000"/>
        </w:rPr>
        <w:t xml:space="preserve"> magistrales</w:t>
      </w:r>
      <w:r>
        <w:rPr>
          <w:rFonts w:ascii="Arial" w:hAnsi="Arial" w:cs="Arial"/>
          <w:b/>
          <w:bCs/>
          <w:color w:val="FF0000"/>
        </w:rPr>
        <w:t xml:space="preserve"> y oficinales, según lo indica el “</w:t>
      </w:r>
      <w:r w:rsidRPr="00E41A24">
        <w:rPr>
          <w:rFonts w:ascii="Arial" w:hAnsi="Arial" w:cs="Arial"/>
          <w:b/>
          <w:bCs/>
          <w:color w:val="FF0000"/>
        </w:rPr>
        <w:t>Reglamento Técnico Centroamericano RTCA 11.01.02:04 Productos Farmacéuticos. Etiquetado de Productos Farmacéuticos para uso humano N°38636-S-COMEX-MEIC</w:t>
      </w:r>
      <w:r>
        <w:rPr>
          <w:rFonts w:ascii="Arial" w:hAnsi="Arial" w:cs="Arial"/>
          <w:b/>
          <w:bCs/>
          <w:color w:val="FF0000"/>
        </w:rPr>
        <w:t>”</w:t>
      </w:r>
      <w:r w:rsidRPr="00E41A24">
        <w:rPr>
          <w:rFonts w:ascii="Arial" w:hAnsi="Arial" w:cs="Arial"/>
          <w:b/>
          <w:bCs/>
          <w:color w:val="FF0000"/>
        </w:rPr>
        <w:t>:</w:t>
      </w:r>
    </w:p>
    <w:p w14:paraId="3B1F6A7E" w14:textId="77777777" w:rsidR="0094406A" w:rsidRPr="00E41A24" w:rsidRDefault="0094406A" w:rsidP="0094406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Denominación del medicamento.</w:t>
      </w:r>
    </w:p>
    <w:p w14:paraId="3F4524BD" w14:textId="77777777" w:rsidR="0094406A" w:rsidRPr="00E41A24" w:rsidRDefault="0094406A" w:rsidP="0094406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Nombre y dirección de la farmacia y nombre del farmacéutico responsable.</w:t>
      </w:r>
    </w:p>
    <w:p w14:paraId="5A9F2CA4" w14:textId="77777777" w:rsidR="0094406A" w:rsidRPr="00E41A24" w:rsidRDefault="0094406A" w:rsidP="0094406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Composición del producto por unidad de medida, indicando los principios activos con su concentración e incluyendo en el texto excipientes c.s.</w:t>
      </w:r>
      <w:r>
        <w:rPr>
          <w:rFonts w:ascii="Arial" w:hAnsi="Arial" w:cs="Arial"/>
          <w:b/>
          <w:bCs/>
          <w:color w:val="FF0000"/>
        </w:rPr>
        <w:t>,</w:t>
      </w:r>
      <w:r w:rsidRPr="00E41A24">
        <w:rPr>
          <w:rFonts w:ascii="Arial" w:hAnsi="Arial" w:cs="Arial"/>
          <w:b/>
          <w:bCs/>
          <w:color w:val="FF0000"/>
        </w:rPr>
        <w:t xml:space="preserve"> vehículo c.s.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E41A24">
        <w:rPr>
          <w:rFonts w:ascii="Arial" w:hAnsi="Arial" w:cs="Arial"/>
          <w:b/>
          <w:bCs/>
          <w:color w:val="FF0000"/>
        </w:rPr>
        <w:t>o abreviaturas equivalentes.</w:t>
      </w:r>
    </w:p>
    <w:p w14:paraId="27808272" w14:textId="77777777" w:rsidR="0094406A" w:rsidRPr="00E41A24" w:rsidRDefault="0094406A" w:rsidP="0094406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Vía de administración.</w:t>
      </w:r>
    </w:p>
    <w:p w14:paraId="0819145A" w14:textId="77777777" w:rsidR="0094406A" w:rsidRDefault="0094406A" w:rsidP="0094406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Dosis y forma de administración, ejemplo: Poner 2 cucharadas en medio vaso de agua.]</w:t>
      </w:r>
    </w:p>
    <w:p w14:paraId="452E785E" w14:textId="3684745C" w:rsidR="0094406A" w:rsidRPr="00E41A24" w:rsidRDefault="0094406A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[Indicar el paso a paso del proceso de la creación de la etiqueta, incluyendo el proceso para etiquetado adecuado para persona con discapacidad visual, así según el “</w:t>
      </w:r>
      <w:r w:rsidRPr="00B72F15">
        <w:rPr>
          <w:rFonts w:ascii="Arial" w:hAnsi="Arial" w:cs="Arial"/>
          <w:b/>
          <w:bCs/>
          <w:i/>
          <w:iCs/>
          <w:color w:val="FF0000"/>
        </w:rPr>
        <w:t>Pr</w:t>
      </w:r>
      <w:r w:rsidR="00E37CAE">
        <w:rPr>
          <w:rFonts w:ascii="Arial" w:hAnsi="Arial" w:cs="Arial"/>
          <w:b/>
          <w:bCs/>
          <w:i/>
          <w:iCs/>
          <w:color w:val="FF0000"/>
        </w:rPr>
        <w:t>ocedimiento</w:t>
      </w:r>
      <w:r w:rsidRPr="00B72F15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E37CAE">
        <w:rPr>
          <w:rFonts w:ascii="Arial" w:hAnsi="Arial" w:cs="Arial"/>
          <w:b/>
          <w:bCs/>
          <w:i/>
          <w:iCs/>
          <w:color w:val="FF0000"/>
        </w:rPr>
        <w:t>para la</w:t>
      </w:r>
      <w:r w:rsidRPr="00B72F15">
        <w:rPr>
          <w:rFonts w:ascii="Arial" w:hAnsi="Arial" w:cs="Arial"/>
          <w:b/>
          <w:bCs/>
          <w:i/>
          <w:iCs/>
          <w:color w:val="FF0000"/>
        </w:rPr>
        <w:t xml:space="preserve"> dispensación de medicamentos en la farmacia</w:t>
      </w:r>
      <w:r>
        <w:rPr>
          <w:rFonts w:ascii="Arial" w:hAnsi="Arial" w:cs="Arial"/>
          <w:b/>
          <w:bCs/>
          <w:color w:val="FF0000"/>
        </w:rPr>
        <w:t>” y el “</w:t>
      </w:r>
      <w:r w:rsidRPr="00E01EE8">
        <w:rPr>
          <w:rFonts w:ascii="Arial" w:hAnsi="Arial" w:cs="Arial"/>
          <w:b/>
          <w:bCs/>
          <w:i/>
          <w:iCs/>
          <w:color w:val="FF0000"/>
        </w:rPr>
        <w:t>Pro</w:t>
      </w:r>
      <w:r w:rsidR="00E37CAE">
        <w:rPr>
          <w:rFonts w:ascii="Arial" w:hAnsi="Arial" w:cs="Arial"/>
          <w:b/>
          <w:bCs/>
          <w:i/>
          <w:iCs/>
          <w:color w:val="FF0000"/>
        </w:rPr>
        <w:t>cedimiento para el</w:t>
      </w:r>
      <w:r w:rsidRPr="00E01EE8">
        <w:rPr>
          <w:rFonts w:ascii="Arial" w:hAnsi="Arial" w:cs="Arial"/>
          <w:b/>
          <w:bCs/>
          <w:i/>
          <w:iCs/>
          <w:color w:val="FF0000"/>
        </w:rPr>
        <w:t xml:space="preserve"> etiquetado de medicamentos para personas con discapacidad visual”</w:t>
      </w:r>
      <w:r>
        <w:rPr>
          <w:rFonts w:ascii="Arial" w:hAnsi="Arial" w:cs="Arial"/>
          <w:b/>
          <w:bCs/>
          <w:color w:val="FF0000"/>
        </w:rPr>
        <w:t>.]</w:t>
      </w:r>
    </w:p>
    <w:p w14:paraId="7C4D6F99" w14:textId="77C9AA50" w:rsidR="0094406A" w:rsidRPr="009E6CC1" w:rsidRDefault="0094406A" w:rsidP="0094406A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E6CC1">
        <w:rPr>
          <w:rFonts w:ascii="Arial" w:hAnsi="Arial" w:cs="Arial"/>
          <w:b/>
          <w:bCs/>
        </w:rPr>
        <w:t>Asignación de plazos de validez</w:t>
      </w:r>
    </w:p>
    <w:p w14:paraId="07F367CF" w14:textId="77777777" w:rsidR="0094406A" w:rsidRDefault="0094406A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[Indicar el procedimiento a seguir paso a paso para realizar la asignación o determinación del plazo de validez de las preparaciones.</w:t>
      </w:r>
      <w:r w:rsidRPr="00E41A24">
        <w:rPr>
          <w:rFonts w:ascii="Arial" w:hAnsi="Arial" w:cs="Arial"/>
          <w:b/>
          <w:bCs/>
          <w:color w:val="FF0000"/>
        </w:rPr>
        <w:t>]</w:t>
      </w:r>
    </w:p>
    <w:p w14:paraId="1FE22075" w14:textId="77777777" w:rsidR="0094406A" w:rsidRPr="00E41A24" w:rsidRDefault="0094406A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[</w:t>
      </w:r>
      <w:r>
        <w:rPr>
          <w:rFonts w:ascii="Arial" w:hAnsi="Arial" w:cs="Arial"/>
          <w:b/>
          <w:bCs/>
          <w:color w:val="FF0000"/>
        </w:rPr>
        <w:t xml:space="preserve">Los plazos de validez </w:t>
      </w:r>
      <w:r w:rsidRPr="00E41A24">
        <w:rPr>
          <w:rFonts w:ascii="Arial" w:hAnsi="Arial" w:cs="Arial"/>
          <w:b/>
          <w:bCs/>
          <w:color w:val="FF0000"/>
        </w:rPr>
        <w:t>se deben asignar de forma conservadora. Al asignar u</w:t>
      </w:r>
      <w:r>
        <w:rPr>
          <w:rFonts w:ascii="Arial" w:hAnsi="Arial" w:cs="Arial"/>
          <w:b/>
          <w:bCs/>
          <w:color w:val="FF0000"/>
        </w:rPr>
        <w:t>n plazo de validez</w:t>
      </w:r>
      <w:r w:rsidRPr="00E41A24">
        <w:rPr>
          <w:rFonts w:ascii="Arial" w:hAnsi="Arial" w:cs="Arial"/>
          <w:b/>
          <w:bCs/>
          <w:color w:val="FF0000"/>
        </w:rPr>
        <w:t xml:space="preserve">, </w:t>
      </w:r>
      <w:r>
        <w:rPr>
          <w:rFonts w:ascii="Arial" w:hAnsi="Arial" w:cs="Arial"/>
          <w:b/>
          <w:bCs/>
          <w:color w:val="FF0000"/>
        </w:rPr>
        <w:t>los profesionales farmacéuticos</w:t>
      </w:r>
      <w:r w:rsidRPr="00E41A24">
        <w:rPr>
          <w:rFonts w:ascii="Arial" w:hAnsi="Arial" w:cs="Arial"/>
          <w:b/>
          <w:bCs/>
          <w:color w:val="FF0000"/>
        </w:rPr>
        <w:t xml:space="preserve"> deben consultar</w:t>
      </w:r>
      <w:r>
        <w:rPr>
          <w:rFonts w:ascii="Arial" w:hAnsi="Arial" w:cs="Arial"/>
          <w:b/>
          <w:bCs/>
          <w:color w:val="FF0000"/>
        </w:rPr>
        <w:t xml:space="preserve"> la </w:t>
      </w:r>
      <w:r w:rsidRPr="00E41A24">
        <w:rPr>
          <w:rFonts w:ascii="Arial" w:hAnsi="Arial" w:cs="Arial"/>
          <w:b/>
          <w:bCs/>
          <w:color w:val="FF0000"/>
        </w:rPr>
        <w:t xml:space="preserve">documentación sobre </w:t>
      </w:r>
      <w:r>
        <w:rPr>
          <w:rFonts w:ascii="Arial" w:hAnsi="Arial" w:cs="Arial"/>
          <w:b/>
          <w:bCs/>
          <w:color w:val="FF0000"/>
        </w:rPr>
        <w:t>los principios activo</w:t>
      </w:r>
      <w:r w:rsidRPr="00E41A24">
        <w:rPr>
          <w:rFonts w:ascii="Arial" w:hAnsi="Arial" w:cs="Arial"/>
          <w:b/>
          <w:bCs/>
          <w:color w:val="FF0000"/>
        </w:rPr>
        <w:t>s específic</w:t>
      </w:r>
      <w:r>
        <w:rPr>
          <w:rFonts w:ascii="Arial" w:hAnsi="Arial" w:cs="Arial"/>
          <w:b/>
          <w:bCs/>
          <w:color w:val="FF0000"/>
        </w:rPr>
        <w:t>o</w:t>
      </w:r>
      <w:r w:rsidRPr="00E41A24">
        <w:rPr>
          <w:rFonts w:ascii="Arial" w:hAnsi="Arial" w:cs="Arial"/>
          <w:b/>
          <w:bCs/>
          <w:color w:val="FF0000"/>
        </w:rPr>
        <w:t>s</w:t>
      </w:r>
      <w:r>
        <w:rPr>
          <w:rFonts w:ascii="Arial" w:hAnsi="Arial" w:cs="Arial"/>
          <w:b/>
          <w:bCs/>
          <w:color w:val="FF0000"/>
        </w:rPr>
        <w:t xml:space="preserve">, la </w:t>
      </w:r>
      <w:r w:rsidRPr="00E41A24">
        <w:rPr>
          <w:rFonts w:ascii="Arial" w:hAnsi="Arial" w:cs="Arial"/>
          <w:b/>
          <w:bCs/>
          <w:color w:val="FF0000"/>
        </w:rPr>
        <w:t>documentación de la estabilidad general</w:t>
      </w:r>
      <w:r>
        <w:rPr>
          <w:rFonts w:ascii="Arial" w:hAnsi="Arial" w:cs="Arial"/>
          <w:b/>
          <w:bCs/>
          <w:color w:val="FF0000"/>
        </w:rPr>
        <w:t>,</w:t>
      </w:r>
      <w:r w:rsidRPr="00E41A24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la </w:t>
      </w:r>
      <w:r w:rsidRPr="00E41A24">
        <w:rPr>
          <w:rFonts w:ascii="Arial" w:hAnsi="Arial" w:cs="Arial"/>
          <w:b/>
          <w:bCs/>
          <w:color w:val="FF0000"/>
        </w:rPr>
        <w:t xml:space="preserve">literatura </w:t>
      </w:r>
      <w:r>
        <w:rPr>
          <w:rFonts w:ascii="Arial" w:hAnsi="Arial" w:cs="Arial"/>
          <w:b/>
          <w:bCs/>
          <w:color w:val="FF0000"/>
        </w:rPr>
        <w:t xml:space="preserve">científica, </w:t>
      </w:r>
      <w:r w:rsidRPr="00E41A24">
        <w:rPr>
          <w:rFonts w:ascii="Arial" w:hAnsi="Arial" w:cs="Arial"/>
          <w:b/>
          <w:bCs/>
          <w:color w:val="FF0000"/>
        </w:rPr>
        <w:t>cuando esté disponible</w:t>
      </w:r>
      <w:r>
        <w:rPr>
          <w:rFonts w:ascii="Arial" w:hAnsi="Arial" w:cs="Arial"/>
          <w:b/>
          <w:bCs/>
          <w:color w:val="FF0000"/>
        </w:rPr>
        <w:t>,</w:t>
      </w:r>
      <w:r w:rsidRPr="00E41A24">
        <w:rPr>
          <w:rFonts w:ascii="Arial" w:hAnsi="Arial" w:cs="Arial"/>
          <w:b/>
          <w:bCs/>
          <w:color w:val="FF0000"/>
        </w:rPr>
        <w:t xml:space="preserve"> y debe</w:t>
      </w:r>
      <w:r>
        <w:rPr>
          <w:rFonts w:ascii="Arial" w:hAnsi="Arial" w:cs="Arial"/>
          <w:b/>
          <w:bCs/>
          <w:color w:val="FF0000"/>
        </w:rPr>
        <w:t>n</w:t>
      </w:r>
      <w:r w:rsidRPr="00E41A24">
        <w:rPr>
          <w:rFonts w:ascii="Arial" w:hAnsi="Arial" w:cs="Arial"/>
          <w:b/>
          <w:bCs/>
          <w:color w:val="FF0000"/>
        </w:rPr>
        <w:t xml:space="preserve"> considerar</w:t>
      </w:r>
      <w:r>
        <w:rPr>
          <w:rFonts w:ascii="Arial" w:hAnsi="Arial" w:cs="Arial"/>
          <w:b/>
          <w:bCs/>
          <w:color w:val="FF0000"/>
        </w:rPr>
        <w:t xml:space="preserve"> lo siguiente</w:t>
      </w:r>
      <w:r w:rsidRPr="00E41A24">
        <w:rPr>
          <w:rFonts w:ascii="Arial" w:hAnsi="Arial" w:cs="Arial"/>
          <w:b/>
          <w:bCs/>
          <w:color w:val="FF0000"/>
        </w:rPr>
        <w:t>:</w:t>
      </w:r>
    </w:p>
    <w:p w14:paraId="4103DB15" w14:textId="77777777" w:rsidR="0094406A" w:rsidRPr="00E41A24" w:rsidRDefault="0094406A" w:rsidP="0094406A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 xml:space="preserve">la naturaleza </w:t>
      </w:r>
      <w:r>
        <w:rPr>
          <w:rFonts w:ascii="Arial" w:hAnsi="Arial" w:cs="Arial"/>
          <w:b/>
          <w:bCs/>
          <w:color w:val="FF0000"/>
        </w:rPr>
        <w:t xml:space="preserve">del principio activo </w:t>
      </w:r>
      <w:r w:rsidRPr="00E41A24">
        <w:rPr>
          <w:rFonts w:ascii="Arial" w:hAnsi="Arial" w:cs="Arial"/>
          <w:b/>
          <w:bCs/>
          <w:color w:val="FF0000"/>
        </w:rPr>
        <w:t>y su mecanismo de degradación</w:t>
      </w:r>
      <w:r>
        <w:rPr>
          <w:rFonts w:ascii="Arial" w:hAnsi="Arial" w:cs="Arial"/>
          <w:b/>
          <w:bCs/>
          <w:color w:val="FF0000"/>
        </w:rPr>
        <w:t>.</w:t>
      </w:r>
    </w:p>
    <w:p w14:paraId="4BF87F68" w14:textId="77777777" w:rsidR="0094406A" w:rsidRPr="00E41A24" w:rsidRDefault="0094406A" w:rsidP="0094406A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la forma de dosificación y sus componentes</w:t>
      </w:r>
      <w:r>
        <w:rPr>
          <w:rFonts w:ascii="Arial" w:hAnsi="Arial" w:cs="Arial"/>
          <w:b/>
          <w:bCs/>
          <w:color w:val="FF0000"/>
        </w:rPr>
        <w:t>.</w:t>
      </w:r>
    </w:p>
    <w:p w14:paraId="173C9D43" w14:textId="77777777" w:rsidR="0094406A" w:rsidRPr="00E41A24" w:rsidRDefault="0094406A" w:rsidP="0094406A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el potencial para la proliferación microbiana en la preparación</w:t>
      </w:r>
      <w:r>
        <w:rPr>
          <w:rFonts w:ascii="Arial" w:hAnsi="Arial" w:cs="Arial"/>
          <w:b/>
          <w:bCs/>
          <w:color w:val="FF0000"/>
        </w:rPr>
        <w:t>.</w:t>
      </w:r>
    </w:p>
    <w:p w14:paraId="0B69DD13" w14:textId="77777777" w:rsidR="0094406A" w:rsidRPr="00E41A24" w:rsidRDefault="0094406A" w:rsidP="0094406A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el recipiente en el que se envasa</w:t>
      </w:r>
      <w:r>
        <w:rPr>
          <w:rFonts w:ascii="Arial" w:hAnsi="Arial" w:cs="Arial"/>
          <w:b/>
          <w:bCs/>
          <w:color w:val="FF0000"/>
        </w:rPr>
        <w:t>.</w:t>
      </w:r>
    </w:p>
    <w:p w14:paraId="7752CB2F" w14:textId="77777777" w:rsidR="0094406A" w:rsidRPr="00E41A24" w:rsidRDefault="0094406A" w:rsidP="0094406A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las condiciones de almacenamiento esperad</w:t>
      </w:r>
      <w:r>
        <w:rPr>
          <w:rFonts w:ascii="Arial" w:hAnsi="Arial" w:cs="Arial"/>
          <w:b/>
          <w:bCs/>
          <w:color w:val="FF0000"/>
        </w:rPr>
        <w:t>a</w:t>
      </w:r>
      <w:r w:rsidRPr="00E41A24">
        <w:rPr>
          <w:rFonts w:ascii="Arial" w:hAnsi="Arial" w:cs="Arial"/>
          <w:b/>
          <w:bCs/>
          <w:color w:val="FF0000"/>
        </w:rPr>
        <w:t>s</w:t>
      </w:r>
      <w:r>
        <w:rPr>
          <w:rFonts w:ascii="Arial" w:hAnsi="Arial" w:cs="Arial"/>
          <w:b/>
          <w:bCs/>
          <w:color w:val="FF0000"/>
        </w:rPr>
        <w:t>.</w:t>
      </w:r>
    </w:p>
    <w:p w14:paraId="3E49CD80" w14:textId="77777777" w:rsidR="0094406A" w:rsidRPr="00E41A24" w:rsidRDefault="0094406A" w:rsidP="0094406A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la duración prevista de la terapia</w:t>
      </w:r>
      <w:r>
        <w:rPr>
          <w:rFonts w:ascii="Arial" w:hAnsi="Arial" w:cs="Arial"/>
          <w:b/>
          <w:bCs/>
          <w:color w:val="FF0000"/>
        </w:rPr>
        <w:t>.</w:t>
      </w:r>
    </w:p>
    <w:p w14:paraId="305D720E" w14:textId="77777777" w:rsidR="0094406A" w:rsidRPr="00E41A24" w:rsidRDefault="0094406A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lastRenderedPageBreak/>
        <w:t>Toda la información de estabilidad debe ser cuidadosamente interpretada en relación a la formulación preparada.]</w:t>
      </w:r>
    </w:p>
    <w:p w14:paraId="0BED52AA" w14:textId="77777777" w:rsidR="0094406A" w:rsidRPr="00E41A24" w:rsidRDefault="0094406A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[</w:t>
      </w:r>
      <w:r>
        <w:rPr>
          <w:rFonts w:ascii="Arial" w:hAnsi="Arial" w:cs="Arial"/>
          <w:b/>
          <w:bCs/>
          <w:color w:val="FF0000"/>
        </w:rPr>
        <w:t>La</w:t>
      </w:r>
      <w:r w:rsidRPr="00E41A24">
        <w:rPr>
          <w:rFonts w:ascii="Arial" w:hAnsi="Arial" w:cs="Arial"/>
          <w:b/>
          <w:bCs/>
          <w:color w:val="FF0000"/>
        </w:rPr>
        <w:t xml:space="preserve"> Farmacopea de los Estados Unidos</w:t>
      </w:r>
      <w:r>
        <w:rPr>
          <w:rFonts w:ascii="Arial" w:hAnsi="Arial" w:cs="Arial"/>
          <w:b/>
          <w:bCs/>
          <w:color w:val="FF0000"/>
        </w:rPr>
        <w:t xml:space="preserve"> (USP)</w:t>
      </w:r>
      <w:r w:rsidRPr="00E41A24">
        <w:rPr>
          <w:rFonts w:ascii="Arial" w:hAnsi="Arial" w:cs="Arial"/>
          <w:b/>
          <w:bCs/>
          <w:color w:val="FF0000"/>
        </w:rPr>
        <w:t xml:space="preserve"> ha establecido</w:t>
      </w:r>
      <w:r>
        <w:rPr>
          <w:rFonts w:ascii="Arial" w:hAnsi="Arial" w:cs="Arial"/>
          <w:b/>
          <w:bCs/>
          <w:color w:val="FF0000"/>
        </w:rPr>
        <w:t>, como regla general,</w:t>
      </w:r>
      <w:r w:rsidRPr="00E41A24">
        <w:rPr>
          <w:rFonts w:ascii="Arial" w:hAnsi="Arial" w:cs="Arial"/>
          <w:b/>
          <w:bCs/>
          <w:color w:val="FF0000"/>
        </w:rPr>
        <w:t xml:space="preserve"> las siguientes consideraciones para establecer </w:t>
      </w:r>
      <w:r>
        <w:rPr>
          <w:rFonts w:ascii="Arial" w:hAnsi="Arial" w:cs="Arial"/>
          <w:b/>
          <w:bCs/>
          <w:color w:val="FF0000"/>
        </w:rPr>
        <w:t>los plazos de validez</w:t>
      </w:r>
      <w:r w:rsidRPr="00E41A24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de </w:t>
      </w:r>
      <w:r w:rsidRPr="00E41A24">
        <w:rPr>
          <w:rFonts w:ascii="Arial" w:hAnsi="Arial" w:cs="Arial"/>
          <w:b/>
          <w:bCs/>
          <w:color w:val="FF0000"/>
        </w:rPr>
        <w:t>las preparaciones no estériles</w:t>
      </w:r>
      <w:r>
        <w:rPr>
          <w:rFonts w:ascii="Arial" w:hAnsi="Arial" w:cs="Arial"/>
          <w:b/>
          <w:bCs/>
          <w:color w:val="FF0000"/>
        </w:rPr>
        <w:t>, cuando haya</w:t>
      </w:r>
      <w:r w:rsidRPr="00E41A24">
        <w:rPr>
          <w:rFonts w:ascii="Arial" w:hAnsi="Arial" w:cs="Arial"/>
          <w:b/>
          <w:bCs/>
          <w:color w:val="FF0000"/>
        </w:rPr>
        <w:t xml:space="preserve"> ausencia de datos confiables de estabilidad que aplique para la determinada preparación:</w:t>
      </w:r>
    </w:p>
    <w:p w14:paraId="2A88F37D" w14:textId="77777777" w:rsidR="0094406A" w:rsidRPr="00E41A24" w:rsidRDefault="0094406A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 xml:space="preserve">Preparaciones no acuosas: </w:t>
      </w:r>
      <w:r>
        <w:rPr>
          <w:rFonts w:ascii="Arial" w:hAnsi="Arial" w:cs="Arial"/>
          <w:b/>
          <w:bCs/>
          <w:color w:val="FF0000"/>
        </w:rPr>
        <w:t>plazo de validez</w:t>
      </w:r>
      <w:r w:rsidRPr="00E41A24">
        <w:rPr>
          <w:rFonts w:ascii="Arial" w:hAnsi="Arial" w:cs="Arial"/>
          <w:b/>
          <w:bCs/>
          <w:color w:val="FF0000"/>
        </w:rPr>
        <w:t xml:space="preserve"> no es mayor al tiempo restante de </w:t>
      </w:r>
      <w:r>
        <w:rPr>
          <w:rFonts w:ascii="Arial" w:hAnsi="Arial" w:cs="Arial"/>
          <w:b/>
          <w:bCs/>
          <w:color w:val="FF0000"/>
        </w:rPr>
        <w:t>la expira</w:t>
      </w:r>
      <w:r w:rsidRPr="00E41A24">
        <w:rPr>
          <w:rFonts w:ascii="Arial" w:hAnsi="Arial" w:cs="Arial"/>
          <w:b/>
          <w:bCs/>
          <w:color w:val="FF0000"/>
        </w:rPr>
        <w:t xml:space="preserve"> del </w:t>
      </w:r>
      <w:r>
        <w:rPr>
          <w:rFonts w:ascii="Arial" w:hAnsi="Arial" w:cs="Arial"/>
          <w:b/>
          <w:bCs/>
          <w:color w:val="FF0000"/>
        </w:rPr>
        <w:t>principio activo</w:t>
      </w:r>
      <w:r w:rsidRPr="00E41A24">
        <w:rPr>
          <w:rFonts w:ascii="Arial" w:hAnsi="Arial" w:cs="Arial"/>
          <w:b/>
          <w:bCs/>
          <w:color w:val="FF0000"/>
        </w:rPr>
        <w:t xml:space="preserve"> o 6 meses, el que sea menor.</w:t>
      </w:r>
    </w:p>
    <w:p w14:paraId="62F1D0EF" w14:textId="77777777" w:rsidR="0094406A" w:rsidRPr="00E41A24" w:rsidRDefault="0094406A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 xml:space="preserve">Preparaciones orales que contengan agua: </w:t>
      </w:r>
      <w:r>
        <w:rPr>
          <w:rFonts w:ascii="Arial" w:hAnsi="Arial" w:cs="Arial"/>
          <w:b/>
          <w:bCs/>
          <w:color w:val="FF0000"/>
        </w:rPr>
        <w:t>plazo de validez</w:t>
      </w:r>
      <w:r w:rsidRPr="00E41A24">
        <w:rPr>
          <w:rFonts w:ascii="Arial" w:hAnsi="Arial" w:cs="Arial"/>
          <w:b/>
          <w:bCs/>
          <w:color w:val="FF0000"/>
        </w:rPr>
        <w:t xml:space="preserve"> no es mayor a 14 días cuando se almacena bajo condiciones</w:t>
      </w:r>
      <w:r>
        <w:rPr>
          <w:rFonts w:ascii="Arial" w:hAnsi="Arial" w:cs="Arial"/>
          <w:b/>
          <w:bCs/>
          <w:color w:val="FF0000"/>
        </w:rPr>
        <w:t xml:space="preserve"> de refrigeración</w:t>
      </w:r>
      <w:r w:rsidRPr="00E41A24">
        <w:rPr>
          <w:rFonts w:ascii="Arial" w:hAnsi="Arial" w:cs="Arial"/>
          <w:b/>
          <w:bCs/>
          <w:color w:val="FF0000"/>
        </w:rPr>
        <w:t>.</w:t>
      </w:r>
    </w:p>
    <w:p w14:paraId="5601B0C4" w14:textId="71E94873" w:rsidR="0094406A" w:rsidRDefault="0094406A" w:rsidP="0094406A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E41A24">
        <w:rPr>
          <w:rFonts w:ascii="Arial" w:hAnsi="Arial" w:cs="Arial"/>
          <w:b/>
          <w:bCs/>
          <w:color w:val="FF0000"/>
        </w:rPr>
        <w:t>Preparaciones tópicas/dérmicas y en mucosas</w:t>
      </w:r>
      <w:r>
        <w:rPr>
          <w:rFonts w:ascii="Arial" w:hAnsi="Arial" w:cs="Arial"/>
          <w:b/>
          <w:bCs/>
          <w:color w:val="FF0000"/>
        </w:rPr>
        <w:t>,</w:t>
      </w:r>
      <w:r w:rsidRPr="00E41A24">
        <w:rPr>
          <w:rFonts w:ascii="Arial" w:hAnsi="Arial" w:cs="Arial"/>
          <w:b/>
          <w:bCs/>
          <w:color w:val="FF0000"/>
        </w:rPr>
        <w:t xml:space="preserve"> líquidas y semisólidas: </w:t>
      </w:r>
      <w:r>
        <w:rPr>
          <w:rFonts w:ascii="Arial" w:hAnsi="Arial" w:cs="Arial"/>
          <w:b/>
          <w:bCs/>
          <w:color w:val="FF0000"/>
        </w:rPr>
        <w:t>plazo de validez</w:t>
      </w:r>
      <w:r w:rsidRPr="00E41A24">
        <w:rPr>
          <w:rFonts w:ascii="Arial" w:hAnsi="Arial" w:cs="Arial"/>
          <w:b/>
          <w:bCs/>
          <w:color w:val="FF0000"/>
        </w:rPr>
        <w:t xml:space="preserve"> no es mayor a 30 días.]</w:t>
      </w:r>
    </w:p>
    <w:p w14:paraId="590C9B09" w14:textId="76F50E38" w:rsidR="009E6CC1" w:rsidRPr="009E6CC1" w:rsidRDefault="009E6CC1" w:rsidP="009E6CC1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/>
          <w:bCs/>
          <w:lang w:val="es-CR"/>
        </w:rPr>
      </w:pPr>
      <w:r>
        <w:rPr>
          <w:rFonts w:ascii="Arial" w:hAnsi="Arial" w:cs="Arial"/>
          <w:b/>
          <w:bCs/>
          <w:lang w:val="es-CR"/>
        </w:rPr>
        <w:t>Dispensación</w:t>
      </w:r>
    </w:p>
    <w:p w14:paraId="286FFFD4" w14:textId="322F8350" w:rsidR="009E6CC1" w:rsidRPr="00CC2C71" w:rsidRDefault="009E6CC1" w:rsidP="009E6CC1">
      <w:pPr>
        <w:spacing w:line="276" w:lineRule="auto"/>
        <w:jc w:val="both"/>
        <w:rPr>
          <w:rFonts w:ascii="Arial" w:hAnsi="Arial" w:cs="Arial"/>
        </w:rPr>
      </w:pPr>
      <w:r w:rsidRPr="005F7750">
        <w:rPr>
          <w:rFonts w:ascii="Arial" w:hAnsi="Arial" w:cs="Arial"/>
        </w:rPr>
        <w:t>El regente farmacéutico verifica una última vez el correcto estado y apariencia de la preparación magistral u oficinal, así como el correcto etiquetado y asignación del plazo de validez, previo</w:t>
      </w:r>
      <w:r>
        <w:rPr>
          <w:rFonts w:ascii="Arial" w:hAnsi="Arial" w:cs="Arial"/>
        </w:rPr>
        <w:t xml:space="preserve"> a la entrega al paciente, para detectar cualquier alteración u omisión en el proceso de elaboración.</w:t>
      </w:r>
    </w:p>
    <w:p w14:paraId="6BB62947" w14:textId="77777777" w:rsidR="009E6CC1" w:rsidRDefault="009E6CC1" w:rsidP="009E6CC1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B42F19">
        <w:rPr>
          <w:rFonts w:ascii="Arial" w:hAnsi="Arial" w:cs="Arial"/>
          <w:b/>
          <w:bCs/>
          <w:color w:val="FF0000"/>
        </w:rPr>
        <w:t xml:space="preserve">[Describir el proceso </w:t>
      </w:r>
      <w:r>
        <w:rPr>
          <w:rFonts w:ascii="Arial" w:hAnsi="Arial" w:cs="Arial"/>
          <w:b/>
          <w:bCs/>
          <w:color w:val="FF0000"/>
        </w:rPr>
        <w:t xml:space="preserve">paso a paso </w:t>
      </w:r>
      <w:r w:rsidRPr="00B42F19">
        <w:rPr>
          <w:rFonts w:ascii="Arial" w:hAnsi="Arial" w:cs="Arial"/>
          <w:b/>
          <w:bCs/>
          <w:color w:val="FF0000"/>
        </w:rPr>
        <w:t>de dispensación de la preparación magistral</w:t>
      </w:r>
      <w:r>
        <w:rPr>
          <w:rFonts w:ascii="Arial" w:hAnsi="Arial" w:cs="Arial"/>
          <w:b/>
          <w:bCs/>
          <w:color w:val="FF0000"/>
        </w:rPr>
        <w:t>.</w:t>
      </w:r>
      <w:r w:rsidRPr="00E41A24">
        <w:rPr>
          <w:rFonts w:ascii="Arial" w:hAnsi="Arial" w:cs="Arial"/>
          <w:b/>
          <w:bCs/>
          <w:color w:val="FF0000"/>
        </w:rPr>
        <w:t>]</w:t>
      </w:r>
    </w:p>
    <w:p w14:paraId="5154999B" w14:textId="63CD6F66" w:rsidR="009E6CC1" w:rsidRDefault="009E6CC1" w:rsidP="009E6CC1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B42F19">
        <w:rPr>
          <w:rFonts w:ascii="Arial" w:hAnsi="Arial" w:cs="Arial"/>
          <w:b/>
          <w:bCs/>
          <w:color w:val="FF0000"/>
        </w:rPr>
        <w:t xml:space="preserve">[Describir el proceso </w:t>
      </w:r>
      <w:r>
        <w:rPr>
          <w:rFonts w:ascii="Arial" w:hAnsi="Arial" w:cs="Arial"/>
          <w:b/>
          <w:bCs/>
          <w:color w:val="FF0000"/>
        </w:rPr>
        <w:t xml:space="preserve">paso a paso </w:t>
      </w:r>
      <w:r w:rsidRPr="00B42F19">
        <w:rPr>
          <w:rFonts w:ascii="Arial" w:hAnsi="Arial" w:cs="Arial"/>
          <w:b/>
          <w:bCs/>
          <w:color w:val="FF0000"/>
        </w:rPr>
        <w:t xml:space="preserve">de dispensación de la preparación </w:t>
      </w:r>
      <w:r>
        <w:rPr>
          <w:rFonts w:ascii="Arial" w:hAnsi="Arial" w:cs="Arial"/>
          <w:b/>
          <w:bCs/>
          <w:color w:val="FF0000"/>
        </w:rPr>
        <w:t>oficinal.</w:t>
      </w:r>
      <w:r w:rsidRPr="00E41A24">
        <w:rPr>
          <w:rFonts w:ascii="Arial" w:hAnsi="Arial" w:cs="Arial"/>
          <w:b/>
          <w:bCs/>
          <w:color w:val="FF0000"/>
        </w:rPr>
        <w:t>]</w:t>
      </w:r>
    </w:p>
    <w:p w14:paraId="5B378601" w14:textId="7C1CA80E" w:rsidR="009E6CC1" w:rsidRDefault="009E6CC1" w:rsidP="009E6CC1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39718BF3" w14:textId="77777777" w:rsidR="009E6CC1" w:rsidRPr="00A92AF6" w:rsidRDefault="009E6CC1" w:rsidP="009E6CC1">
      <w:pPr>
        <w:spacing w:line="276" w:lineRule="auto"/>
        <w:jc w:val="both"/>
        <w:rPr>
          <w:rFonts w:ascii="Arial" w:hAnsi="Arial" w:cs="Arial"/>
          <w:b/>
          <w:bCs/>
        </w:rPr>
      </w:pPr>
      <w:r w:rsidRPr="00A92AF6">
        <w:rPr>
          <w:rFonts w:ascii="Arial" w:hAnsi="Arial" w:cs="Arial"/>
          <w:b/>
          <w:bCs/>
        </w:rPr>
        <w:t>Manejo de los desechos</w:t>
      </w:r>
    </w:p>
    <w:p w14:paraId="5412B0E8" w14:textId="1728BE66" w:rsidR="009E6CC1" w:rsidRDefault="009E6CC1" w:rsidP="009E6CC1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2329ED">
        <w:rPr>
          <w:rFonts w:ascii="Arial" w:hAnsi="Arial" w:cs="Arial"/>
          <w:b/>
          <w:bCs/>
          <w:color w:val="FF0000"/>
        </w:rPr>
        <w:t xml:space="preserve">[Según lo que indique el </w:t>
      </w:r>
      <w:r>
        <w:rPr>
          <w:rFonts w:ascii="Arial" w:hAnsi="Arial" w:cs="Arial"/>
          <w:b/>
          <w:bCs/>
          <w:color w:val="FF0000"/>
        </w:rPr>
        <w:t>“P</w:t>
      </w:r>
      <w:r w:rsidRPr="00A92AF6">
        <w:rPr>
          <w:rFonts w:ascii="Arial" w:hAnsi="Arial" w:cs="Arial"/>
          <w:b/>
          <w:bCs/>
          <w:i/>
          <w:iCs/>
          <w:color w:val="FF0000"/>
        </w:rPr>
        <w:t>ro</w:t>
      </w:r>
      <w:r w:rsidR="00E37CAE">
        <w:rPr>
          <w:rFonts w:ascii="Arial" w:hAnsi="Arial" w:cs="Arial"/>
          <w:b/>
          <w:bCs/>
          <w:i/>
          <w:iCs/>
          <w:color w:val="FF0000"/>
        </w:rPr>
        <w:t>cedimiento</w:t>
      </w:r>
      <w:r w:rsidRPr="00A92AF6">
        <w:rPr>
          <w:rFonts w:ascii="Arial" w:hAnsi="Arial" w:cs="Arial"/>
          <w:b/>
          <w:bCs/>
          <w:i/>
          <w:iCs/>
          <w:color w:val="FF0000"/>
        </w:rPr>
        <w:t xml:space="preserve"> para la disposición final de medicamentos</w:t>
      </w:r>
      <w:r w:rsidR="00E37CAE">
        <w:rPr>
          <w:rFonts w:ascii="Arial" w:hAnsi="Arial" w:cs="Arial"/>
          <w:b/>
          <w:bCs/>
          <w:i/>
          <w:iCs/>
          <w:color w:val="FF0000"/>
        </w:rPr>
        <w:t>,</w:t>
      </w:r>
      <w:r w:rsidRPr="00A92AF6">
        <w:rPr>
          <w:rFonts w:ascii="Arial" w:hAnsi="Arial" w:cs="Arial"/>
          <w:b/>
          <w:bCs/>
          <w:i/>
          <w:iCs/>
          <w:color w:val="FF0000"/>
        </w:rPr>
        <w:t xml:space="preserve"> materias primas </w:t>
      </w:r>
      <w:r w:rsidR="00E37CAE">
        <w:rPr>
          <w:rFonts w:ascii="Arial" w:hAnsi="Arial" w:cs="Arial"/>
          <w:b/>
          <w:bCs/>
          <w:i/>
          <w:iCs/>
          <w:color w:val="FF0000"/>
        </w:rPr>
        <w:t>y sus residuos</w:t>
      </w:r>
      <w:r>
        <w:rPr>
          <w:rFonts w:ascii="Arial" w:hAnsi="Arial" w:cs="Arial"/>
          <w:b/>
          <w:bCs/>
          <w:color w:val="FF0000"/>
        </w:rPr>
        <w:t>”.</w:t>
      </w:r>
      <w:r w:rsidRPr="002329ED">
        <w:rPr>
          <w:rFonts w:ascii="Arial" w:hAnsi="Arial" w:cs="Arial"/>
          <w:b/>
          <w:bCs/>
          <w:color w:val="FF0000"/>
        </w:rPr>
        <w:t>]</w:t>
      </w:r>
    </w:p>
    <w:p w14:paraId="6C19A6FE" w14:textId="77777777" w:rsidR="009E6CC1" w:rsidRDefault="009E6CC1" w:rsidP="009E6CC1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2329ED">
        <w:rPr>
          <w:rFonts w:ascii="Arial" w:hAnsi="Arial" w:cs="Arial"/>
          <w:b/>
          <w:bCs/>
          <w:color w:val="FF0000"/>
        </w:rPr>
        <w:t xml:space="preserve">[Según lo que indique el </w:t>
      </w:r>
      <w:r>
        <w:rPr>
          <w:rFonts w:ascii="Arial" w:hAnsi="Arial" w:cs="Arial"/>
          <w:b/>
          <w:bCs/>
          <w:color w:val="FF0000"/>
        </w:rPr>
        <w:t>“</w:t>
      </w:r>
      <w:r w:rsidRPr="002039BA">
        <w:rPr>
          <w:rFonts w:ascii="Arial" w:hAnsi="Arial" w:cs="Arial"/>
          <w:b/>
          <w:bCs/>
          <w:i/>
          <w:iCs/>
          <w:color w:val="FF0000"/>
        </w:rPr>
        <w:t>Plan de manejo de desechos sólidos de la farmacia</w:t>
      </w:r>
      <w:r>
        <w:rPr>
          <w:rFonts w:ascii="Arial" w:hAnsi="Arial" w:cs="Arial"/>
          <w:b/>
          <w:bCs/>
          <w:color w:val="FF0000"/>
        </w:rPr>
        <w:t>”.</w:t>
      </w:r>
      <w:r w:rsidRPr="002329ED">
        <w:rPr>
          <w:rFonts w:ascii="Arial" w:hAnsi="Arial" w:cs="Arial"/>
          <w:b/>
          <w:bCs/>
          <w:color w:val="FF0000"/>
        </w:rPr>
        <w:t>]</w:t>
      </w:r>
    </w:p>
    <w:p w14:paraId="24EABF8F" w14:textId="77777777" w:rsidR="00E37CAE" w:rsidRDefault="00E37CAE" w:rsidP="009E6CC1">
      <w:pPr>
        <w:spacing w:line="276" w:lineRule="auto"/>
        <w:rPr>
          <w:rFonts w:ascii="Arial" w:hAnsi="Arial" w:cs="Arial"/>
          <w:b/>
          <w:bCs/>
        </w:rPr>
      </w:pPr>
    </w:p>
    <w:p w14:paraId="54BECFA1" w14:textId="3CE6FB81" w:rsidR="00E37CAE" w:rsidRDefault="00E37CAE" w:rsidP="009E6CC1">
      <w:pPr>
        <w:spacing w:line="276" w:lineRule="auto"/>
        <w:rPr>
          <w:rFonts w:ascii="Arial" w:hAnsi="Arial" w:cs="Arial"/>
          <w:b/>
          <w:bCs/>
        </w:rPr>
      </w:pPr>
    </w:p>
    <w:p w14:paraId="044B5A56" w14:textId="77777777" w:rsidR="00DB1785" w:rsidRDefault="00DB1785" w:rsidP="009E6CC1">
      <w:pPr>
        <w:spacing w:line="276" w:lineRule="auto"/>
        <w:rPr>
          <w:rFonts w:ascii="Arial" w:hAnsi="Arial" w:cs="Arial"/>
          <w:b/>
          <w:bCs/>
        </w:rPr>
      </w:pPr>
    </w:p>
    <w:p w14:paraId="501F2BFA" w14:textId="77777777" w:rsidR="00E37CAE" w:rsidRDefault="00E37CAE" w:rsidP="009E6CC1">
      <w:pPr>
        <w:spacing w:line="276" w:lineRule="auto"/>
        <w:rPr>
          <w:rFonts w:ascii="Arial" w:hAnsi="Arial" w:cs="Arial"/>
          <w:b/>
          <w:bCs/>
        </w:rPr>
      </w:pPr>
    </w:p>
    <w:p w14:paraId="2F286200" w14:textId="3730399E" w:rsidR="009E6CC1" w:rsidRDefault="009E6CC1" w:rsidP="009E6CC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Farmacovigilancia</w:t>
      </w:r>
    </w:p>
    <w:p w14:paraId="3B445A10" w14:textId="77777777" w:rsidR="009E6CC1" w:rsidRDefault="009E6CC1" w:rsidP="009E6CC1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[Indicar el paso a paso del procedimiento para realizar farmacovigilancia de los medicamentos elaborados. </w:t>
      </w:r>
      <w:r w:rsidRPr="008A40BC">
        <w:rPr>
          <w:rFonts w:ascii="Arial" w:hAnsi="Arial" w:cs="Arial"/>
          <w:b/>
          <w:bCs/>
          <w:color w:val="FF0000"/>
        </w:rPr>
        <w:t>Se debe proceder según el “</w:t>
      </w:r>
      <w:r w:rsidRPr="00A92AF6">
        <w:rPr>
          <w:rFonts w:ascii="Arial" w:hAnsi="Arial" w:cs="Arial"/>
          <w:b/>
          <w:bCs/>
          <w:i/>
          <w:iCs/>
          <w:color w:val="FF0000"/>
        </w:rPr>
        <w:t>Procedimiento para realizar farmacovigilancia</w:t>
      </w:r>
      <w:r w:rsidRPr="008A40BC">
        <w:rPr>
          <w:rFonts w:ascii="Arial" w:hAnsi="Arial" w:cs="Arial"/>
          <w:b/>
          <w:bCs/>
          <w:color w:val="FF0000"/>
        </w:rPr>
        <w:t>” de la farmacia.</w:t>
      </w:r>
      <w:r>
        <w:rPr>
          <w:rFonts w:ascii="Arial" w:hAnsi="Arial" w:cs="Arial"/>
          <w:b/>
          <w:bCs/>
          <w:color w:val="FF0000"/>
        </w:rPr>
        <w:t>]</w:t>
      </w:r>
    </w:p>
    <w:p w14:paraId="483FFD44" w14:textId="77777777" w:rsidR="009E6CC1" w:rsidRDefault="009E6CC1" w:rsidP="009E6CC1">
      <w:pPr>
        <w:spacing w:line="276" w:lineRule="auto"/>
        <w:jc w:val="both"/>
        <w:rPr>
          <w:rFonts w:ascii="Arial" w:hAnsi="Arial" w:cs="Arial"/>
          <w:b/>
          <w:bCs/>
        </w:rPr>
      </w:pPr>
      <w:r w:rsidRPr="002329ED">
        <w:rPr>
          <w:rFonts w:ascii="Arial" w:hAnsi="Arial" w:cs="Arial"/>
          <w:b/>
          <w:bCs/>
          <w:color w:val="FF0000"/>
        </w:rPr>
        <w:t>[</w:t>
      </w:r>
      <w:r w:rsidRPr="008A40BC">
        <w:rPr>
          <w:rFonts w:ascii="Arial" w:hAnsi="Arial" w:cs="Arial"/>
          <w:b/>
          <w:bCs/>
          <w:color w:val="FF0000"/>
        </w:rPr>
        <w:t>Por la naturaleza del medicamento magistral, es responsabilidad del regente farmacéutico concientizar a los pacientes o personas responsables cuidadoras que comuniquen cualquier evento adverso relacionado con la medicación.</w:t>
      </w:r>
      <w:r w:rsidRPr="002329ED">
        <w:rPr>
          <w:rFonts w:ascii="Arial" w:hAnsi="Arial" w:cs="Arial"/>
          <w:b/>
          <w:bCs/>
          <w:color w:val="FF0000"/>
        </w:rPr>
        <w:t>]</w:t>
      </w:r>
    </w:p>
    <w:p w14:paraId="213F9211" w14:textId="77777777" w:rsidR="009E6CC1" w:rsidRPr="009E6CC1" w:rsidRDefault="009E6CC1" w:rsidP="009E6CC1">
      <w:pPr>
        <w:spacing w:line="276" w:lineRule="auto"/>
        <w:jc w:val="both"/>
        <w:rPr>
          <w:rFonts w:ascii="Arial" w:hAnsi="Arial" w:cs="Arial"/>
          <w:b/>
          <w:bCs/>
          <w:lang w:val="es-CR"/>
        </w:rPr>
      </w:pPr>
    </w:p>
    <w:p w14:paraId="67E98F70" w14:textId="7BC0F1F8" w:rsidR="000A63B6" w:rsidRDefault="00DF1019" w:rsidP="000A63B6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Documentos relacionados</w:t>
      </w:r>
    </w:p>
    <w:p w14:paraId="340FAD7B" w14:textId="77777777" w:rsidR="000A63B6" w:rsidRDefault="000A63B6" w:rsidP="000A63B6">
      <w:pPr>
        <w:pStyle w:val="ListParagraph"/>
        <w:spacing w:line="276" w:lineRule="auto"/>
        <w:rPr>
          <w:rFonts w:ascii="Arial" w:hAnsi="Arial" w:cs="Arial"/>
          <w:b/>
          <w:lang w:val="es-CR"/>
        </w:rPr>
      </w:pPr>
    </w:p>
    <w:p w14:paraId="4C71C86A" w14:textId="55617086" w:rsidR="009E6CC1" w:rsidRPr="009E6CC1" w:rsidRDefault="009E6CC1" w:rsidP="009E6CC1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 w:rsidRPr="009E6CC1">
        <w:rPr>
          <w:rFonts w:ascii="Arial" w:hAnsi="Arial" w:cs="Arial"/>
        </w:rPr>
        <w:t>Pro</w:t>
      </w:r>
      <w:r w:rsidR="00E37CAE">
        <w:rPr>
          <w:rFonts w:ascii="Arial" w:hAnsi="Arial" w:cs="Arial"/>
        </w:rPr>
        <w:t>cedimiento</w:t>
      </w:r>
      <w:r w:rsidRPr="009E6CC1">
        <w:rPr>
          <w:rFonts w:ascii="Arial" w:hAnsi="Arial" w:cs="Arial"/>
        </w:rPr>
        <w:t xml:space="preserve"> de funciones y responsabilidades de los puestos en</w:t>
      </w:r>
      <w:r w:rsidRPr="009E6CC1">
        <w:rPr>
          <w:rFonts w:ascii="Arial" w:hAnsi="Arial" w:cs="Arial"/>
          <w:b/>
          <w:bCs/>
        </w:rPr>
        <w:t xml:space="preserve"> </w:t>
      </w:r>
      <w:r w:rsidRPr="009E6CC1">
        <w:rPr>
          <w:rFonts w:ascii="Arial" w:hAnsi="Arial" w:cs="Arial"/>
          <w:b/>
          <w:bCs/>
          <w:color w:val="FF0000"/>
        </w:rPr>
        <w:t>[colocar nombre del establecimiento].</w:t>
      </w:r>
    </w:p>
    <w:p w14:paraId="44227295" w14:textId="016F6B3A" w:rsidR="009E6CC1" w:rsidRPr="009E6CC1" w:rsidRDefault="009E6CC1" w:rsidP="009E6CC1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 w:rsidRPr="009E6CC1">
        <w:rPr>
          <w:rFonts w:ascii="Arial" w:hAnsi="Arial" w:cs="Arial"/>
        </w:rPr>
        <w:t>Pro</w:t>
      </w:r>
      <w:r w:rsidR="00E37CAE">
        <w:rPr>
          <w:rFonts w:ascii="Arial" w:hAnsi="Arial" w:cs="Arial"/>
        </w:rPr>
        <w:t>cedimiento</w:t>
      </w:r>
      <w:r w:rsidRPr="009E6CC1">
        <w:rPr>
          <w:rFonts w:ascii="Arial" w:hAnsi="Arial" w:cs="Arial"/>
        </w:rPr>
        <w:t xml:space="preserve"> </w:t>
      </w:r>
      <w:r w:rsidR="00E37CAE">
        <w:rPr>
          <w:rFonts w:ascii="Arial" w:hAnsi="Arial" w:cs="Arial"/>
        </w:rPr>
        <w:t>para la</w:t>
      </w:r>
      <w:r w:rsidRPr="009E6CC1">
        <w:rPr>
          <w:rFonts w:ascii="Arial" w:hAnsi="Arial" w:cs="Arial"/>
        </w:rPr>
        <w:t xml:space="preserve"> disposición final de medicamentos</w:t>
      </w:r>
      <w:r w:rsidR="00E37CAE">
        <w:rPr>
          <w:rFonts w:ascii="Arial" w:hAnsi="Arial" w:cs="Arial"/>
        </w:rPr>
        <w:t>, materias primas y sus residuos</w:t>
      </w:r>
      <w:r w:rsidRPr="009E6CC1">
        <w:rPr>
          <w:rFonts w:ascii="Arial" w:hAnsi="Arial" w:cs="Arial"/>
        </w:rPr>
        <w:t xml:space="preserve"> de </w:t>
      </w:r>
      <w:r w:rsidRPr="009E6CC1">
        <w:rPr>
          <w:rFonts w:ascii="Arial" w:hAnsi="Arial" w:cs="Arial"/>
          <w:b/>
          <w:bCs/>
          <w:color w:val="FF0000"/>
        </w:rPr>
        <w:t>[colocar nombre del establecimiento].</w:t>
      </w:r>
    </w:p>
    <w:p w14:paraId="7892A36E" w14:textId="47A2E1A5" w:rsidR="009E6CC1" w:rsidRPr="009E6CC1" w:rsidRDefault="009E6CC1" w:rsidP="009E6CC1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 w:rsidRPr="009E6CC1">
        <w:rPr>
          <w:rFonts w:ascii="Arial" w:hAnsi="Arial" w:cs="Arial"/>
        </w:rPr>
        <w:t>Pro</w:t>
      </w:r>
      <w:r w:rsidR="00E37CAE">
        <w:rPr>
          <w:rFonts w:ascii="Arial" w:hAnsi="Arial" w:cs="Arial"/>
        </w:rPr>
        <w:t>cedimiento</w:t>
      </w:r>
      <w:r w:rsidRPr="009E6CC1">
        <w:rPr>
          <w:rFonts w:ascii="Arial" w:hAnsi="Arial" w:cs="Arial"/>
        </w:rPr>
        <w:t xml:space="preserve"> de limpieza de las d</w:t>
      </w:r>
      <w:r w:rsidR="00E37CAE">
        <w:rPr>
          <w:rFonts w:ascii="Arial" w:hAnsi="Arial" w:cs="Arial"/>
        </w:rPr>
        <w:t>iferentes</w:t>
      </w:r>
      <w:r w:rsidRPr="009E6CC1">
        <w:rPr>
          <w:rFonts w:ascii="Arial" w:hAnsi="Arial" w:cs="Arial"/>
        </w:rPr>
        <w:t xml:space="preserve"> áreas de </w:t>
      </w:r>
      <w:r w:rsidRPr="009E6CC1">
        <w:rPr>
          <w:rFonts w:ascii="Arial" w:hAnsi="Arial" w:cs="Arial"/>
          <w:b/>
          <w:bCs/>
          <w:color w:val="FF0000"/>
        </w:rPr>
        <w:t>[colocar nombre del establecimiento].</w:t>
      </w:r>
    </w:p>
    <w:p w14:paraId="5D3D3FF0" w14:textId="2EB575C1" w:rsidR="009E6CC1" w:rsidRPr="009E6CC1" w:rsidRDefault="009E6CC1" w:rsidP="009E6CC1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E6CC1">
        <w:rPr>
          <w:rFonts w:ascii="Arial" w:hAnsi="Arial" w:cs="Arial"/>
        </w:rPr>
        <w:t>Pro</w:t>
      </w:r>
      <w:r w:rsidR="00E37CAE">
        <w:rPr>
          <w:rFonts w:ascii="Arial" w:hAnsi="Arial" w:cs="Arial"/>
        </w:rPr>
        <w:t>cedimiento</w:t>
      </w:r>
      <w:r w:rsidRPr="009E6CC1">
        <w:rPr>
          <w:rFonts w:ascii="Arial" w:hAnsi="Arial" w:cs="Arial"/>
        </w:rPr>
        <w:t xml:space="preserve"> </w:t>
      </w:r>
      <w:r w:rsidR="00E37CAE">
        <w:rPr>
          <w:rFonts w:ascii="Arial" w:hAnsi="Arial" w:cs="Arial"/>
        </w:rPr>
        <w:t>para la</w:t>
      </w:r>
      <w:r w:rsidRPr="009E6CC1">
        <w:rPr>
          <w:rFonts w:ascii="Arial" w:hAnsi="Arial" w:cs="Arial"/>
        </w:rPr>
        <w:t xml:space="preserve"> dispensació</w:t>
      </w:r>
      <w:r w:rsidR="00E37CAE">
        <w:rPr>
          <w:rFonts w:ascii="Arial" w:hAnsi="Arial" w:cs="Arial"/>
        </w:rPr>
        <w:t>n</w:t>
      </w:r>
      <w:r w:rsidRPr="009E6CC1">
        <w:rPr>
          <w:rFonts w:ascii="Arial" w:hAnsi="Arial" w:cs="Arial"/>
        </w:rPr>
        <w:t xml:space="preserve"> de medicamentos en</w:t>
      </w:r>
      <w:r w:rsidRPr="009E6CC1">
        <w:rPr>
          <w:rFonts w:ascii="Arial" w:hAnsi="Arial" w:cs="Arial"/>
          <w:b/>
          <w:bCs/>
        </w:rPr>
        <w:t xml:space="preserve"> </w:t>
      </w:r>
      <w:r w:rsidRPr="009E6CC1">
        <w:rPr>
          <w:rFonts w:ascii="Arial" w:hAnsi="Arial" w:cs="Arial"/>
          <w:b/>
          <w:bCs/>
          <w:color w:val="FF0000"/>
        </w:rPr>
        <w:t>[colocar nombre del establecimiento].</w:t>
      </w:r>
    </w:p>
    <w:p w14:paraId="11CAC257" w14:textId="77777777" w:rsidR="009E6CC1" w:rsidRPr="009E6CC1" w:rsidRDefault="009E6CC1" w:rsidP="009E6CC1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E6CC1">
        <w:rPr>
          <w:rFonts w:ascii="Arial" w:hAnsi="Arial" w:cs="Arial"/>
        </w:rPr>
        <w:t>Procedimiento para realizar farmacovigilancia en</w:t>
      </w:r>
      <w:r w:rsidRPr="009E6CC1">
        <w:rPr>
          <w:rFonts w:ascii="Arial" w:hAnsi="Arial" w:cs="Arial"/>
          <w:b/>
          <w:bCs/>
        </w:rPr>
        <w:t xml:space="preserve"> </w:t>
      </w:r>
      <w:r w:rsidRPr="009E6CC1">
        <w:rPr>
          <w:rFonts w:ascii="Arial" w:hAnsi="Arial" w:cs="Arial"/>
          <w:b/>
          <w:bCs/>
          <w:color w:val="FF0000"/>
        </w:rPr>
        <w:t>[colocar nombre del establecimiento].</w:t>
      </w:r>
    </w:p>
    <w:p w14:paraId="2551A6BB" w14:textId="77777777" w:rsidR="00314BDF" w:rsidRPr="007F6CDE" w:rsidRDefault="00314BDF" w:rsidP="00BF35A7">
      <w:pPr>
        <w:pStyle w:val="ListParagraph"/>
        <w:spacing w:after="0" w:line="276" w:lineRule="auto"/>
        <w:rPr>
          <w:rFonts w:ascii="Arial" w:hAnsi="Arial" w:cs="Arial"/>
          <w:lang w:val="es-CR"/>
        </w:rPr>
      </w:pPr>
    </w:p>
    <w:p w14:paraId="6552FBD4" w14:textId="18FD8B58" w:rsidR="00FB3B68" w:rsidRDefault="00314BDF" w:rsidP="00BF35A7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lang w:val="es-CR"/>
        </w:rPr>
      </w:pPr>
      <w:r w:rsidRPr="007F6CDE">
        <w:rPr>
          <w:rFonts w:ascii="Arial" w:hAnsi="Arial" w:cs="Arial"/>
          <w:b/>
          <w:bCs/>
          <w:color w:val="FF0000"/>
          <w:sz w:val="24"/>
          <w:szCs w:val="24"/>
          <w:lang w:val="es-CR"/>
        </w:rPr>
        <w:t>[Colocar los documentos, procedimientos o registros relacionados directamente con el pro</w:t>
      </w:r>
      <w:r w:rsidR="00393776">
        <w:rPr>
          <w:rFonts w:ascii="Arial" w:hAnsi="Arial" w:cs="Arial"/>
          <w:b/>
          <w:bCs/>
          <w:color w:val="FF0000"/>
          <w:sz w:val="24"/>
          <w:szCs w:val="24"/>
          <w:lang w:val="es-CR"/>
        </w:rPr>
        <w:t>cedimiento</w:t>
      </w:r>
      <w:r w:rsidRPr="007F6CDE">
        <w:rPr>
          <w:rFonts w:ascii="Arial" w:hAnsi="Arial" w:cs="Arial"/>
          <w:b/>
          <w:bCs/>
          <w:color w:val="FF0000"/>
          <w:sz w:val="24"/>
          <w:szCs w:val="24"/>
          <w:lang w:val="es-CR"/>
        </w:rPr>
        <w:t>]</w:t>
      </w:r>
    </w:p>
    <w:p w14:paraId="51D76F68" w14:textId="77777777" w:rsidR="00E1071D" w:rsidRPr="00FB3B68" w:rsidRDefault="00E1071D" w:rsidP="00BF35A7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lang w:val="es-CR"/>
        </w:rPr>
      </w:pPr>
    </w:p>
    <w:p w14:paraId="1A79A605" w14:textId="4A72A85B" w:rsidR="00D239CE" w:rsidRPr="00ED2748" w:rsidRDefault="00D239CE" w:rsidP="00ED2748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Referencias</w:t>
      </w:r>
    </w:p>
    <w:p w14:paraId="0C3CF700" w14:textId="77777777" w:rsidR="009E6CC1" w:rsidRPr="007464EE" w:rsidRDefault="009E6CC1" w:rsidP="009E6CC1">
      <w:pPr>
        <w:pStyle w:val="Bibliography"/>
        <w:ind w:left="708" w:hanging="708"/>
        <w:jc w:val="both"/>
        <w:rPr>
          <w:rFonts w:ascii="Arial" w:hAnsi="Arial" w:cs="Arial"/>
          <w:noProof/>
          <w:sz w:val="24"/>
          <w:szCs w:val="24"/>
        </w:rPr>
      </w:pPr>
      <w:r w:rsidRPr="007464EE">
        <w:rPr>
          <w:rFonts w:ascii="Arial" w:hAnsi="Arial" w:cs="Arial"/>
          <w:noProof/>
        </w:rPr>
        <w:t xml:space="preserve">Convención Farmacopeica de los Estados Unidos de América. (2018). </w:t>
      </w:r>
      <w:r w:rsidRPr="007464EE">
        <w:rPr>
          <w:rFonts w:ascii="Arial" w:hAnsi="Arial" w:cs="Arial"/>
          <w:i/>
          <w:iCs/>
          <w:noProof/>
        </w:rPr>
        <w:t>Farmacopea de los Estados Unidos - Formulario Nacional</w:t>
      </w:r>
      <w:r w:rsidRPr="007464EE">
        <w:rPr>
          <w:rFonts w:ascii="Arial" w:hAnsi="Arial" w:cs="Arial"/>
          <w:noProof/>
        </w:rPr>
        <w:t xml:space="preserve"> (USP 41 - NF 36 ed.). Rockville, Maryland.</w:t>
      </w:r>
    </w:p>
    <w:p w14:paraId="2E401183" w14:textId="529702DD" w:rsidR="00030CDC" w:rsidRDefault="00030CDC" w:rsidP="009E6CC1">
      <w:pPr>
        <w:pStyle w:val="Bibliography"/>
        <w:ind w:left="708" w:hanging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Decreto ejecutivo N° 38732 -</w:t>
      </w:r>
      <w:r w:rsidRPr="00030CDC">
        <w:rPr>
          <w:rFonts w:ascii="Arial" w:hAnsi="Arial" w:cs="Arial"/>
          <w:noProof/>
        </w:rPr>
        <w:t>Publica Resolución N° 339-2014 (COMIECO-LXVll) del 25/04/2014 y sus Anexos: "Reglamento Técnico Centroamericano RTCA 11/.03.42:07 Productos Farmacéuticos. Medicamentos Para Uso Humano. Buenas Prácticas de Manufactura para la Industria Farmacéutica</w:t>
      </w:r>
      <w:r>
        <w:rPr>
          <w:rFonts w:ascii="Arial" w:hAnsi="Arial" w:cs="Arial"/>
          <w:noProof/>
        </w:rPr>
        <w:t xml:space="preserve">. (11 de diciembre de 2014). </w:t>
      </w:r>
      <w:r w:rsidRPr="00030CDC">
        <w:rPr>
          <w:rFonts w:ascii="Arial" w:hAnsi="Arial" w:cs="Arial"/>
          <w:i/>
          <w:iCs/>
          <w:noProof/>
        </w:rPr>
        <w:t>Diario Oficial La Gaceta.</w:t>
      </w:r>
      <w:r>
        <w:rPr>
          <w:rFonts w:ascii="Arial" w:hAnsi="Arial" w:cs="Arial"/>
          <w:noProof/>
        </w:rPr>
        <w:t xml:space="preserve"> </w:t>
      </w:r>
    </w:p>
    <w:p w14:paraId="19DC7C0A" w14:textId="752F2F8C" w:rsidR="009E6CC1" w:rsidRPr="007464EE" w:rsidRDefault="009E6CC1" w:rsidP="009E6CC1">
      <w:pPr>
        <w:pStyle w:val="Bibliography"/>
        <w:ind w:left="708" w:hanging="708"/>
        <w:jc w:val="both"/>
        <w:rPr>
          <w:rFonts w:ascii="Arial" w:hAnsi="Arial" w:cs="Arial"/>
          <w:noProof/>
        </w:rPr>
      </w:pPr>
      <w:r w:rsidRPr="007464EE">
        <w:rPr>
          <w:rFonts w:ascii="Arial" w:hAnsi="Arial" w:cs="Arial"/>
          <w:noProof/>
        </w:rPr>
        <w:t xml:space="preserve">Ley General de Salud. (24 de noviembre de 1973). </w:t>
      </w:r>
      <w:r w:rsidRPr="007464EE">
        <w:rPr>
          <w:rFonts w:ascii="Arial" w:hAnsi="Arial" w:cs="Arial"/>
          <w:i/>
          <w:iCs/>
          <w:noProof/>
        </w:rPr>
        <w:t>Diario Oficial La Gaceta</w:t>
      </w:r>
      <w:r w:rsidRPr="007464EE">
        <w:rPr>
          <w:rFonts w:ascii="Arial" w:hAnsi="Arial" w:cs="Arial"/>
          <w:noProof/>
        </w:rPr>
        <w:t>.</w:t>
      </w:r>
    </w:p>
    <w:p w14:paraId="3A8F5896" w14:textId="77777777" w:rsidR="009E6CC1" w:rsidRPr="007464EE" w:rsidRDefault="009E6CC1" w:rsidP="009E6CC1">
      <w:pPr>
        <w:pStyle w:val="Bibliography"/>
        <w:ind w:left="708" w:hanging="708"/>
        <w:jc w:val="both"/>
        <w:rPr>
          <w:rFonts w:ascii="Arial" w:hAnsi="Arial" w:cs="Arial"/>
          <w:noProof/>
        </w:rPr>
      </w:pPr>
      <w:r w:rsidRPr="007464EE">
        <w:rPr>
          <w:rFonts w:ascii="Arial" w:hAnsi="Arial" w:cs="Arial"/>
          <w:noProof/>
        </w:rPr>
        <w:lastRenderedPageBreak/>
        <w:t xml:space="preserve">Ley sobre estupefacientes, sustancias psicotrópicas, drogas de uso no autorizado, actividades conexas, legitimación de capitales y financiamiento al terrorismo. (11 de enero de 2002). </w:t>
      </w:r>
      <w:r w:rsidRPr="007464EE">
        <w:rPr>
          <w:rFonts w:ascii="Arial" w:hAnsi="Arial" w:cs="Arial"/>
          <w:i/>
          <w:iCs/>
          <w:noProof/>
        </w:rPr>
        <w:t>Diario Oficial La Gaceta</w:t>
      </w:r>
      <w:r w:rsidRPr="007464EE">
        <w:rPr>
          <w:rFonts w:ascii="Arial" w:hAnsi="Arial" w:cs="Arial"/>
          <w:noProof/>
        </w:rPr>
        <w:t>.</w:t>
      </w:r>
    </w:p>
    <w:p w14:paraId="28463AE0" w14:textId="77777777" w:rsidR="009E6CC1" w:rsidRPr="007464EE" w:rsidRDefault="009E6CC1" w:rsidP="009E6CC1">
      <w:pPr>
        <w:pStyle w:val="Bibliography"/>
        <w:ind w:left="708" w:hanging="708"/>
        <w:jc w:val="both"/>
        <w:rPr>
          <w:rFonts w:ascii="Arial" w:hAnsi="Arial" w:cs="Arial"/>
          <w:noProof/>
        </w:rPr>
      </w:pPr>
      <w:r w:rsidRPr="007464EE">
        <w:rPr>
          <w:rFonts w:ascii="Arial" w:hAnsi="Arial" w:cs="Arial"/>
          <w:noProof/>
        </w:rPr>
        <w:t xml:space="preserve">Manual de normas para la habilitación de farmacias. (7 de septiembre de 2004). </w:t>
      </w:r>
      <w:r w:rsidRPr="007464EE">
        <w:rPr>
          <w:rFonts w:ascii="Arial" w:hAnsi="Arial" w:cs="Arial"/>
          <w:i/>
          <w:iCs/>
          <w:noProof/>
        </w:rPr>
        <w:t>Diario Oficial La Gaceta</w:t>
      </w:r>
      <w:r w:rsidRPr="007464EE">
        <w:rPr>
          <w:rFonts w:ascii="Arial" w:hAnsi="Arial" w:cs="Arial"/>
          <w:noProof/>
        </w:rPr>
        <w:t>.</w:t>
      </w:r>
    </w:p>
    <w:p w14:paraId="6EA4CD23" w14:textId="7D1BBD97" w:rsidR="00A27724" w:rsidRPr="00A27724" w:rsidRDefault="00A27724" w:rsidP="009E6CC1">
      <w:pPr>
        <w:pStyle w:val="Bibliography"/>
        <w:ind w:left="708" w:hanging="708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Ministerio de Sanidad, Servicios Sociales e Igualdad, España. (2014). </w:t>
      </w:r>
      <w:r w:rsidRPr="00A27724">
        <w:rPr>
          <w:rFonts w:ascii="Arial" w:hAnsi="Arial" w:cs="Arial"/>
          <w:i/>
          <w:iCs/>
        </w:rPr>
        <w:t>Guía de buenas prácticas de preparación de medicamentos en servicios de farmacia hospitalaria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Dirección General de Cartera Básica de Servicios del SNS y Farmacia. España. Recuperado en: </w:t>
      </w:r>
      <w:hyperlink r:id="rId9" w:history="1">
        <w:r w:rsidRPr="00A27724">
          <w:rPr>
            <w:rStyle w:val="Hyperlink"/>
            <w:rFonts w:ascii="Arial" w:hAnsi="Arial" w:cs="Arial"/>
          </w:rPr>
          <w:t>https://www.sefh.es/sefhpdfs/GuiaBPP_JUNIO_2014_VF.pdf</w:t>
        </w:r>
      </w:hyperlink>
    </w:p>
    <w:p w14:paraId="294D68AF" w14:textId="6B933DDC" w:rsidR="009E6CC1" w:rsidRPr="007464EE" w:rsidRDefault="009E6CC1" w:rsidP="009E6CC1">
      <w:pPr>
        <w:pStyle w:val="Bibliography"/>
        <w:ind w:left="708" w:hanging="708"/>
        <w:jc w:val="both"/>
        <w:rPr>
          <w:rFonts w:ascii="Arial" w:hAnsi="Arial" w:cs="Arial"/>
          <w:noProof/>
        </w:rPr>
      </w:pPr>
      <w:r w:rsidRPr="007464EE">
        <w:rPr>
          <w:rFonts w:ascii="Arial" w:hAnsi="Arial" w:cs="Arial"/>
          <w:noProof/>
        </w:rPr>
        <w:t>Red de Autoridades en Medicamentos de Iberoamérica. (24 de octubre de 2014). Formulario Iberoamericano de Buenas prácticas de Elaboración y Control de Calidad de Preparaciones Magistrales y Oficinales.</w:t>
      </w:r>
      <w:r w:rsidR="00A27724">
        <w:rPr>
          <w:rFonts w:ascii="Arial" w:hAnsi="Arial" w:cs="Arial"/>
          <w:noProof/>
        </w:rPr>
        <w:t xml:space="preserve"> </w:t>
      </w:r>
      <w:r w:rsidR="00005ACF">
        <w:rPr>
          <w:rFonts w:ascii="Arial" w:hAnsi="Arial" w:cs="Arial"/>
          <w:noProof/>
        </w:rPr>
        <w:t xml:space="preserve">Recuperado en: </w:t>
      </w:r>
      <w:hyperlink r:id="rId10" w:history="1">
        <w:r w:rsidR="00005ACF" w:rsidRPr="00005ACF">
          <w:rPr>
            <w:rStyle w:val="Hyperlink"/>
            <w:rFonts w:ascii="Arial" w:hAnsi="Arial" w:cs="Arial"/>
          </w:rPr>
          <w:t>https://www.redeami.net/docs/docs/cooperacion/guias_formulario_iberoamericano/01_Guia_de_buenas_practicas_elaboracion_control_calidad_preparaciones_magistrales_oficinales.pdf</w:t>
        </w:r>
      </w:hyperlink>
    </w:p>
    <w:p w14:paraId="19B5DC17" w14:textId="77777777" w:rsidR="009E6CC1" w:rsidRPr="007464EE" w:rsidRDefault="009E6CC1" w:rsidP="009E6CC1">
      <w:pPr>
        <w:pStyle w:val="Bibliography"/>
        <w:ind w:left="708" w:hanging="708"/>
        <w:jc w:val="both"/>
        <w:rPr>
          <w:rFonts w:ascii="Arial" w:hAnsi="Arial" w:cs="Arial"/>
          <w:noProof/>
        </w:rPr>
      </w:pPr>
      <w:r w:rsidRPr="007464EE">
        <w:rPr>
          <w:rFonts w:ascii="Arial" w:hAnsi="Arial" w:cs="Arial"/>
          <w:noProof/>
        </w:rPr>
        <w:t xml:space="preserve">Reglamento general de seguridad e higiene de trabajo. (2 de enero de 1967). </w:t>
      </w:r>
      <w:r w:rsidRPr="007464EE">
        <w:rPr>
          <w:rFonts w:ascii="Arial" w:hAnsi="Arial" w:cs="Arial"/>
          <w:i/>
          <w:iCs/>
          <w:noProof/>
        </w:rPr>
        <w:t>Diario Oficial La Gaceta</w:t>
      </w:r>
      <w:r w:rsidRPr="007464EE">
        <w:rPr>
          <w:rFonts w:ascii="Arial" w:hAnsi="Arial" w:cs="Arial"/>
          <w:noProof/>
        </w:rPr>
        <w:t>.</w:t>
      </w:r>
    </w:p>
    <w:p w14:paraId="70C92203" w14:textId="2ACFB1D8" w:rsidR="009E6CC1" w:rsidRDefault="009E6CC1" w:rsidP="009E6CC1">
      <w:pPr>
        <w:pStyle w:val="Bibliography"/>
        <w:ind w:left="708" w:hanging="708"/>
        <w:jc w:val="both"/>
        <w:rPr>
          <w:rFonts w:ascii="Arial" w:hAnsi="Arial" w:cs="Arial"/>
          <w:i/>
          <w:iCs/>
          <w:noProof/>
        </w:rPr>
      </w:pPr>
      <w:r w:rsidRPr="007464EE">
        <w:rPr>
          <w:rFonts w:ascii="Arial" w:hAnsi="Arial" w:cs="Arial"/>
          <w:noProof/>
        </w:rPr>
        <w:t xml:space="preserve">Reglamento general sobre legislación contra el narcotráfico, actividades conexas, legitimación de capitales, financiamiento al terrorismo y delincuencia organizada. (17 de enero de 2012). </w:t>
      </w:r>
      <w:r w:rsidRPr="007464EE">
        <w:rPr>
          <w:rFonts w:ascii="Arial" w:hAnsi="Arial" w:cs="Arial"/>
          <w:i/>
          <w:iCs/>
          <w:noProof/>
        </w:rPr>
        <w:t>Diario Oficial La Gaceta.</w:t>
      </w:r>
    </w:p>
    <w:p w14:paraId="601E02F6" w14:textId="1C881E96" w:rsidR="003C75C0" w:rsidRDefault="009E6CC1" w:rsidP="00B8052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2D0A2C65" w14:textId="77777777" w:rsidR="00B80529" w:rsidRDefault="00B80529" w:rsidP="00B80529">
      <w:pPr>
        <w:rPr>
          <w:rFonts w:ascii="Arial" w:hAnsi="Arial" w:cs="Arial"/>
          <w:noProof/>
        </w:rPr>
      </w:pPr>
    </w:p>
    <w:p w14:paraId="5DB8AE2F" w14:textId="1C9AD3FC" w:rsidR="00ED2748" w:rsidRDefault="00ED2748" w:rsidP="00ED2748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b/>
          <w:lang w:val="es-CR"/>
        </w:rPr>
      </w:pPr>
      <w:r w:rsidRPr="00ED2748">
        <w:rPr>
          <w:rFonts w:ascii="Arial" w:hAnsi="Arial" w:cs="Arial"/>
          <w:b/>
          <w:lang w:val="es-CR"/>
        </w:rPr>
        <w:t>Anexo</w:t>
      </w:r>
      <w:r w:rsidR="00314092">
        <w:rPr>
          <w:rFonts w:ascii="Arial" w:hAnsi="Arial" w:cs="Arial"/>
          <w:b/>
          <w:lang w:val="es-CR"/>
        </w:rPr>
        <w:t>s</w:t>
      </w:r>
    </w:p>
    <w:p w14:paraId="28104E0D" w14:textId="14385668" w:rsidR="005F7750" w:rsidRDefault="005F7750" w:rsidP="005F7750">
      <w:pPr>
        <w:spacing w:line="276" w:lineRule="auto"/>
        <w:rPr>
          <w:rFonts w:ascii="Arial" w:hAnsi="Arial" w:cs="Arial"/>
          <w:b/>
          <w:bCs/>
        </w:rPr>
      </w:pPr>
      <w:r w:rsidRPr="005F7750">
        <w:rPr>
          <w:rFonts w:ascii="Arial" w:hAnsi="Arial" w:cs="Arial"/>
          <w:b/>
        </w:rPr>
        <w:t xml:space="preserve">Anexo 1. </w:t>
      </w:r>
      <w:r w:rsidRPr="005F7750">
        <w:rPr>
          <w:rFonts w:ascii="Arial" w:hAnsi="Arial" w:cs="Arial"/>
          <w:b/>
          <w:bCs/>
        </w:rPr>
        <w:t>Registro de firmas de aprobación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71"/>
        <w:gridCol w:w="3599"/>
        <w:gridCol w:w="1276"/>
        <w:gridCol w:w="2947"/>
      </w:tblGrid>
      <w:tr w:rsidR="005F7750" w:rsidRPr="007F6CDE" w14:paraId="358ED655" w14:textId="77777777" w:rsidTr="00537374">
        <w:tc>
          <w:tcPr>
            <w:tcW w:w="1609" w:type="dxa"/>
          </w:tcPr>
          <w:p w14:paraId="50BE531F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>Fecha (d</w:t>
            </w:r>
            <w:r>
              <w:rPr>
                <w:rFonts w:ascii="Arial" w:hAnsi="Arial" w:cs="Arial"/>
                <w:b/>
                <w:bCs/>
              </w:rPr>
              <w:t>ía</w:t>
            </w:r>
            <w:r w:rsidRPr="007F6CDE">
              <w:rPr>
                <w:rFonts w:ascii="Arial" w:hAnsi="Arial" w:cs="Arial"/>
                <w:b/>
                <w:bCs/>
              </w:rPr>
              <w:t>/m</w:t>
            </w:r>
            <w:r>
              <w:rPr>
                <w:rFonts w:ascii="Arial" w:hAnsi="Arial" w:cs="Arial"/>
                <w:b/>
                <w:bCs/>
              </w:rPr>
              <w:t>es</w:t>
            </w:r>
            <w:r w:rsidRPr="007F6CDE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>ño</w:t>
            </w:r>
            <w:r w:rsidRPr="007F6CD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631" w:type="dxa"/>
          </w:tcPr>
          <w:p w14:paraId="3087BC5B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 xml:space="preserve">Nombre </w:t>
            </w:r>
            <w:r>
              <w:rPr>
                <w:rFonts w:ascii="Arial" w:hAnsi="Arial" w:cs="Arial"/>
                <w:b/>
                <w:bCs/>
              </w:rPr>
              <w:t>completo del regente</w:t>
            </w:r>
          </w:p>
        </w:tc>
        <w:tc>
          <w:tcPr>
            <w:tcW w:w="1279" w:type="dxa"/>
          </w:tcPr>
          <w:p w14:paraId="6251BEB5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Código </w:t>
            </w:r>
            <w:r w:rsidRPr="007F6CDE">
              <w:rPr>
                <w:rFonts w:ascii="Arial" w:hAnsi="Arial" w:cs="Arial"/>
                <w:b/>
                <w:bCs/>
              </w:rPr>
              <w:t>Regente</w:t>
            </w:r>
          </w:p>
        </w:tc>
        <w:tc>
          <w:tcPr>
            <w:tcW w:w="2974" w:type="dxa"/>
          </w:tcPr>
          <w:p w14:paraId="750E02D0" w14:textId="77777777" w:rsidR="005F7750" w:rsidRDefault="005F7750" w:rsidP="005373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6CDE">
              <w:rPr>
                <w:rFonts w:ascii="Arial" w:hAnsi="Arial" w:cs="Arial"/>
                <w:b/>
                <w:bCs/>
              </w:rPr>
              <w:t>Firma y cédula</w:t>
            </w:r>
          </w:p>
        </w:tc>
      </w:tr>
      <w:tr w:rsidR="005F7750" w:rsidRPr="007F6CDE" w14:paraId="16F19C1A" w14:textId="77777777" w:rsidTr="00537374">
        <w:trPr>
          <w:trHeight w:val="589"/>
        </w:trPr>
        <w:tc>
          <w:tcPr>
            <w:tcW w:w="1609" w:type="dxa"/>
          </w:tcPr>
          <w:p w14:paraId="43C13C97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73E5228" w14:textId="77777777" w:rsidR="005F7750" w:rsidRPr="007F6CDE" w:rsidRDefault="005F7750" w:rsidP="0053737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5CE2B88C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00CEC1E8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750" w:rsidRPr="007F6CDE" w14:paraId="0AA80D96" w14:textId="77777777" w:rsidTr="00537374">
        <w:trPr>
          <w:trHeight w:val="559"/>
        </w:trPr>
        <w:tc>
          <w:tcPr>
            <w:tcW w:w="1609" w:type="dxa"/>
          </w:tcPr>
          <w:p w14:paraId="4DFE5B7A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320827FB" w14:textId="77777777" w:rsidR="005F7750" w:rsidRPr="007F6CDE" w:rsidRDefault="005F7750" w:rsidP="0053737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7DF2A371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60752F65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750" w:rsidRPr="007F6CDE" w14:paraId="50ADD43C" w14:textId="77777777" w:rsidTr="00537374">
        <w:trPr>
          <w:trHeight w:val="563"/>
        </w:trPr>
        <w:tc>
          <w:tcPr>
            <w:tcW w:w="1609" w:type="dxa"/>
          </w:tcPr>
          <w:p w14:paraId="6C1DE970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5291657F" w14:textId="77777777" w:rsidR="005F7750" w:rsidRPr="007F6CDE" w:rsidRDefault="005F7750" w:rsidP="0053737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2EEFA410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3A75B502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750" w:rsidRPr="007F6CDE" w14:paraId="02E86463" w14:textId="77777777" w:rsidTr="00537374">
        <w:trPr>
          <w:trHeight w:val="543"/>
        </w:trPr>
        <w:tc>
          <w:tcPr>
            <w:tcW w:w="1609" w:type="dxa"/>
          </w:tcPr>
          <w:p w14:paraId="37B3D8B7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098DB2EF" w14:textId="77777777" w:rsidR="005F7750" w:rsidRPr="007F6CDE" w:rsidRDefault="005F7750" w:rsidP="0053737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1C16351F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B00A5E1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750" w:rsidRPr="007F6CDE" w14:paraId="688F3128" w14:textId="77777777" w:rsidTr="00537374">
        <w:trPr>
          <w:trHeight w:val="571"/>
        </w:trPr>
        <w:tc>
          <w:tcPr>
            <w:tcW w:w="1609" w:type="dxa"/>
          </w:tcPr>
          <w:p w14:paraId="285FCD8F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7E5DA523" w14:textId="77777777" w:rsidR="005F7750" w:rsidRPr="007F6CDE" w:rsidRDefault="005F7750" w:rsidP="0053737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69953DC7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D6FE41F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750" w:rsidRPr="007F6CDE" w14:paraId="63CA9775" w14:textId="77777777" w:rsidTr="00537374">
        <w:trPr>
          <w:trHeight w:val="571"/>
        </w:trPr>
        <w:tc>
          <w:tcPr>
            <w:tcW w:w="1609" w:type="dxa"/>
          </w:tcPr>
          <w:p w14:paraId="585DB8B3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1E839DD2" w14:textId="77777777" w:rsidR="005F7750" w:rsidRPr="007F6CDE" w:rsidRDefault="005F7750" w:rsidP="0053737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3A4A3F41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4D6982C5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750" w:rsidRPr="007F6CDE" w14:paraId="4927F89C" w14:textId="77777777" w:rsidTr="00537374">
        <w:trPr>
          <w:trHeight w:val="571"/>
        </w:trPr>
        <w:tc>
          <w:tcPr>
            <w:tcW w:w="1609" w:type="dxa"/>
          </w:tcPr>
          <w:p w14:paraId="6E213FD0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0C9A0660" w14:textId="77777777" w:rsidR="005F7750" w:rsidRPr="007F6CDE" w:rsidRDefault="005F7750" w:rsidP="0053737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0BF35570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12164E2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750" w:rsidRPr="007F6CDE" w14:paraId="57F29141" w14:textId="77777777" w:rsidTr="00537374">
        <w:trPr>
          <w:trHeight w:val="571"/>
        </w:trPr>
        <w:tc>
          <w:tcPr>
            <w:tcW w:w="1609" w:type="dxa"/>
          </w:tcPr>
          <w:p w14:paraId="1D794F97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51EF224E" w14:textId="77777777" w:rsidR="005F7750" w:rsidRPr="007F6CDE" w:rsidRDefault="005F7750" w:rsidP="0053737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5E03EAFE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575AF840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750" w:rsidRPr="007F6CDE" w14:paraId="3DBE401A" w14:textId="77777777" w:rsidTr="00537374">
        <w:trPr>
          <w:trHeight w:val="571"/>
        </w:trPr>
        <w:tc>
          <w:tcPr>
            <w:tcW w:w="1609" w:type="dxa"/>
          </w:tcPr>
          <w:p w14:paraId="0FBB5AEF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219C4104" w14:textId="77777777" w:rsidR="005F7750" w:rsidRPr="007F6CDE" w:rsidRDefault="005F7750" w:rsidP="0053737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02770728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B5A2EB3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F7750" w:rsidRPr="007F6CDE" w14:paraId="21A58660" w14:textId="77777777" w:rsidTr="00537374">
        <w:trPr>
          <w:trHeight w:val="571"/>
        </w:trPr>
        <w:tc>
          <w:tcPr>
            <w:tcW w:w="1609" w:type="dxa"/>
          </w:tcPr>
          <w:p w14:paraId="46AE0355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1CC29E36" w14:textId="77777777" w:rsidR="005F7750" w:rsidRPr="007F6CDE" w:rsidRDefault="005F7750" w:rsidP="0053737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713C3849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E482AFA" w14:textId="77777777" w:rsidR="005F7750" w:rsidRPr="007F6CDE" w:rsidRDefault="005F7750" w:rsidP="0053737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57A2C1" w14:textId="77777777" w:rsidR="005F7750" w:rsidRPr="005F7750" w:rsidRDefault="005F7750" w:rsidP="005F7750">
      <w:pPr>
        <w:spacing w:line="276" w:lineRule="auto"/>
        <w:rPr>
          <w:rFonts w:ascii="Arial" w:hAnsi="Arial" w:cs="Arial"/>
          <w:b/>
          <w:bCs/>
        </w:rPr>
      </w:pPr>
    </w:p>
    <w:p w14:paraId="7AC336AC" w14:textId="308E3B5F" w:rsidR="007942DE" w:rsidRPr="005F7750" w:rsidRDefault="007942DE" w:rsidP="005F7750">
      <w:pPr>
        <w:spacing w:line="276" w:lineRule="auto"/>
        <w:rPr>
          <w:rFonts w:ascii="Arial" w:hAnsi="Arial" w:cs="Arial"/>
          <w:b/>
          <w:lang w:val="es-CR"/>
        </w:rPr>
      </w:pPr>
    </w:p>
    <w:p w14:paraId="5B8870BE" w14:textId="77777777" w:rsidR="005F7750" w:rsidRDefault="005F7750" w:rsidP="007942DE">
      <w:pPr>
        <w:pStyle w:val="ListParagraph"/>
        <w:spacing w:line="276" w:lineRule="auto"/>
        <w:rPr>
          <w:rFonts w:ascii="Arial" w:hAnsi="Arial" w:cs="Arial"/>
          <w:b/>
          <w:lang w:val="es-CR"/>
        </w:rPr>
      </w:pPr>
    </w:p>
    <w:p w14:paraId="07B606E1" w14:textId="77777777" w:rsidR="005F7750" w:rsidRDefault="005F7750" w:rsidP="00ED2748">
      <w:pPr>
        <w:spacing w:line="276" w:lineRule="auto"/>
        <w:rPr>
          <w:rFonts w:ascii="Arial" w:hAnsi="Arial" w:cs="Arial"/>
          <w:b/>
        </w:rPr>
      </w:pPr>
    </w:p>
    <w:p w14:paraId="4C3D7857" w14:textId="77777777" w:rsidR="005F7750" w:rsidRDefault="005F7750" w:rsidP="00ED2748">
      <w:pPr>
        <w:spacing w:line="276" w:lineRule="auto"/>
        <w:rPr>
          <w:rFonts w:ascii="Arial" w:hAnsi="Arial" w:cs="Arial"/>
          <w:b/>
        </w:rPr>
      </w:pPr>
    </w:p>
    <w:p w14:paraId="11409405" w14:textId="77777777" w:rsidR="005F7750" w:rsidRDefault="005F7750" w:rsidP="00ED2748">
      <w:pPr>
        <w:spacing w:line="276" w:lineRule="auto"/>
        <w:rPr>
          <w:rFonts w:ascii="Arial" w:hAnsi="Arial" w:cs="Arial"/>
          <w:b/>
        </w:rPr>
      </w:pPr>
    </w:p>
    <w:p w14:paraId="149777D1" w14:textId="77777777" w:rsidR="005F7750" w:rsidRDefault="005F7750" w:rsidP="00ED2748">
      <w:pPr>
        <w:spacing w:line="276" w:lineRule="auto"/>
        <w:rPr>
          <w:rFonts w:ascii="Arial" w:hAnsi="Arial" w:cs="Arial"/>
          <w:b/>
        </w:rPr>
      </w:pPr>
    </w:p>
    <w:p w14:paraId="662C979C" w14:textId="77777777" w:rsidR="005F7750" w:rsidRPr="007F6CDE" w:rsidRDefault="005F7750" w:rsidP="005F7750">
      <w:pPr>
        <w:spacing w:line="276" w:lineRule="auto"/>
        <w:rPr>
          <w:rFonts w:ascii="Arial" w:hAnsi="Arial" w:cs="Arial"/>
          <w:b/>
          <w:bCs/>
        </w:rPr>
      </w:pPr>
      <w:r w:rsidRPr="007F6CDE">
        <w:rPr>
          <w:rFonts w:ascii="Arial" w:hAnsi="Arial" w:cs="Arial"/>
          <w:b/>
        </w:rPr>
        <w:lastRenderedPageBreak/>
        <w:t xml:space="preserve">Anexo </w:t>
      </w:r>
      <w:r>
        <w:rPr>
          <w:rFonts w:ascii="Arial" w:hAnsi="Arial" w:cs="Arial"/>
          <w:b/>
        </w:rPr>
        <w:t xml:space="preserve">2. </w:t>
      </w:r>
      <w:r w:rsidRPr="007F6CDE">
        <w:rPr>
          <w:rFonts w:ascii="Arial" w:hAnsi="Arial" w:cs="Arial"/>
          <w:b/>
          <w:bCs/>
        </w:rPr>
        <w:t>Registro de capacitación del pro</w:t>
      </w:r>
      <w:r>
        <w:rPr>
          <w:rFonts w:ascii="Arial" w:hAnsi="Arial" w:cs="Arial"/>
          <w:b/>
          <w:bCs/>
        </w:rPr>
        <w:t>cedimiento</w:t>
      </w:r>
    </w:p>
    <w:p w14:paraId="495A8432" w14:textId="3F469E8F" w:rsidR="005F7750" w:rsidRDefault="005F7750" w:rsidP="00ED2748">
      <w:pPr>
        <w:spacing w:line="276" w:lineRule="auto"/>
        <w:rPr>
          <w:rFonts w:ascii="Arial" w:hAnsi="Arial" w:cs="Arial"/>
          <w:b/>
        </w:rPr>
      </w:pPr>
      <w:r w:rsidRPr="000E4CF9">
        <w:rPr>
          <w:noProof/>
        </w:rPr>
        <w:drawing>
          <wp:inline distT="0" distB="0" distL="0" distR="0" wp14:anchorId="133DA70C" wp14:editId="26B672F2">
            <wp:extent cx="5971540" cy="632523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32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C83B" w14:textId="665506DC" w:rsidR="00ED2748" w:rsidRPr="007F6CDE" w:rsidRDefault="00ED2748" w:rsidP="00ED2748">
      <w:pPr>
        <w:spacing w:line="276" w:lineRule="auto"/>
        <w:rPr>
          <w:rFonts w:ascii="Arial" w:hAnsi="Arial" w:cs="Arial"/>
          <w:b/>
          <w:bCs/>
        </w:rPr>
      </w:pPr>
      <w:r w:rsidRPr="007F6CDE">
        <w:rPr>
          <w:rFonts w:ascii="Arial" w:hAnsi="Arial" w:cs="Arial"/>
          <w:b/>
        </w:rPr>
        <w:lastRenderedPageBreak/>
        <w:t xml:space="preserve">Anexo </w:t>
      </w:r>
      <w:r w:rsidR="005F7750">
        <w:rPr>
          <w:rFonts w:ascii="Arial" w:hAnsi="Arial" w:cs="Arial"/>
          <w:b/>
        </w:rPr>
        <w:t>3</w:t>
      </w:r>
      <w:r w:rsidR="00035AD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9E6CC1">
        <w:rPr>
          <w:rFonts w:ascii="Arial" w:hAnsi="Arial" w:cs="Arial"/>
          <w:b/>
          <w:bCs/>
        </w:rPr>
        <w:t>Registro de preparaciones magistrales y oficinales elaboradas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4"/>
        <w:gridCol w:w="1376"/>
        <w:gridCol w:w="1327"/>
        <w:gridCol w:w="1227"/>
        <w:gridCol w:w="1265"/>
        <w:gridCol w:w="1266"/>
        <w:gridCol w:w="1099"/>
      </w:tblGrid>
      <w:tr w:rsidR="009E6CC1" w14:paraId="1A90F119" w14:textId="77777777" w:rsidTr="00161F8C">
        <w:tc>
          <w:tcPr>
            <w:tcW w:w="987" w:type="pct"/>
            <w:shd w:val="clear" w:color="auto" w:fill="BDD6EE" w:themeFill="accent1" w:themeFillTint="66"/>
          </w:tcPr>
          <w:p w14:paraId="40D16B9C" w14:textId="77777777" w:rsidR="009E6CC1" w:rsidRPr="009E6CC1" w:rsidRDefault="009E6CC1" w:rsidP="00161F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CC1">
              <w:rPr>
                <w:rFonts w:ascii="Arial" w:hAnsi="Arial" w:cs="Arial"/>
                <w:b/>
                <w:bCs/>
                <w:sz w:val="18"/>
                <w:szCs w:val="18"/>
              </w:rPr>
              <w:t>Nombre del paciente (magistrales) o número de lote (oficinales)</w:t>
            </w:r>
          </w:p>
        </w:tc>
        <w:tc>
          <w:tcPr>
            <w:tcW w:w="743" w:type="pct"/>
            <w:shd w:val="clear" w:color="auto" w:fill="BDD6EE" w:themeFill="accent1" w:themeFillTint="66"/>
          </w:tcPr>
          <w:p w14:paraId="3D1A171D" w14:textId="77777777" w:rsidR="009E6CC1" w:rsidRPr="009E6CC1" w:rsidRDefault="009E6CC1" w:rsidP="00161F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CC1">
              <w:rPr>
                <w:rFonts w:ascii="Arial" w:hAnsi="Arial" w:cs="Arial"/>
                <w:b/>
                <w:bCs/>
                <w:sz w:val="18"/>
                <w:szCs w:val="18"/>
              </w:rPr>
              <w:t>Principio activo</w:t>
            </w:r>
          </w:p>
        </w:tc>
        <w:tc>
          <w:tcPr>
            <w:tcW w:w="670" w:type="pct"/>
            <w:shd w:val="clear" w:color="auto" w:fill="BDD6EE" w:themeFill="accent1" w:themeFillTint="66"/>
          </w:tcPr>
          <w:p w14:paraId="2CF58C67" w14:textId="77777777" w:rsidR="009E6CC1" w:rsidRPr="009E6CC1" w:rsidRDefault="009E6CC1" w:rsidP="00161F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CC1">
              <w:rPr>
                <w:rFonts w:ascii="Arial" w:hAnsi="Arial" w:cs="Arial"/>
                <w:b/>
                <w:bCs/>
                <w:sz w:val="18"/>
                <w:szCs w:val="18"/>
              </w:rPr>
              <w:t>Forma farmacéutica y cantidad</w:t>
            </w:r>
          </w:p>
        </w:tc>
        <w:tc>
          <w:tcPr>
            <w:tcW w:w="636" w:type="pct"/>
            <w:shd w:val="clear" w:color="auto" w:fill="BDD6EE" w:themeFill="accent1" w:themeFillTint="66"/>
          </w:tcPr>
          <w:p w14:paraId="63180F3A" w14:textId="2BAAF592" w:rsidR="009E6CC1" w:rsidRPr="009E6CC1" w:rsidRDefault="009E6CC1" w:rsidP="00161F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CC1">
              <w:rPr>
                <w:rFonts w:ascii="Arial" w:hAnsi="Arial" w:cs="Arial"/>
                <w:b/>
                <w:bCs/>
                <w:sz w:val="18"/>
                <w:szCs w:val="18"/>
              </w:rPr>
              <w:t>Fecha de elaboración</w:t>
            </w:r>
          </w:p>
        </w:tc>
        <w:tc>
          <w:tcPr>
            <w:tcW w:w="684" w:type="pct"/>
            <w:shd w:val="clear" w:color="auto" w:fill="BDD6EE" w:themeFill="accent1" w:themeFillTint="66"/>
          </w:tcPr>
          <w:p w14:paraId="2D0D0CAC" w14:textId="77777777" w:rsidR="009E6CC1" w:rsidRPr="009E6CC1" w:rsidRDefault="009E6CC1" w:rsidP="00161F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CC1">
              <w:rPr>
                <w:rFonts w:ascii="Arial" w:hAnsi="Arial" w:cs="Arial"/>
                <w:b/>
                <w:bCs/>
                <w:sz w:val="18"/>
                <w:szCs w:val="18"/>
              </w:rPr>
              <w:t>Plazo de validez</w:t>
            </w:r>
          </w:p>
        </w:tc>
        <w:tc>
          <w:tcPr>
            <w:tcW w:w="684" w:type="pct"/>
            <w:shd w:val="clear" w:color="auto" w:fill="BDD6EE" w:themeFill="accent1" w:themeFillTint="66"/>
          </w:tcPr>
          <w:p w14:paraId="68ABEBD6" w14:textId="77777777" w:rsidR="009E6CC1" w:rsidRPr="009E6CC1" w:rsidRDefault="009E6CC1" w:rsidP="00161F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CC1">
              <w:rPr>
                <w:rFonts w:ascii="Arial" w:hAnsi="Arial" w:cs="Arial"/>
                <w:b/>
                <w:bCs/>
                <w:sz w:val="18"/>
                <w:szCs w:val="18"/>
              </w:rPr>
              <w:t>Nombre del preparador</w:t>
            </w:r>
          </w:p>
        </w:tc>
        <w:tc>
          <w:tcPr>
            <w:tcW w:w="595" w:type="pct"/>
            <w:shd w:val="clear" w:color="auto" w:fill="BDD6EE" w:themeFill="accent1" w:themeFillTint="66"/>
          </w:tcPr>
          <w:p w14:paraId="26836A47" w14:textId="77777777" w:rsidR="009E6CC1" w:rsidRPr="009E6CC1" w:rsidRDefault="009E6CC1" w:rsidP="00161F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CC1">
              <w:rPr>
                <w:rFonts w:ascii="Arial" w:hAnsi="Arial" w:cs="Arial"/>
                <w:b/>
                <w:bCs/>
                <w:sz w:val="18"/>
                <w:szCs w:val="18"/>
              </w:rPr>
              <w:t>Regente (firma y código)</w:t>
            </w:r>
          </w:p>
        </w:tc>
      </w:tr>
      <w:tr w:rsidR="009E6CC1" w14:paraId="052464BC" w14:textId="77777777" w:rsidTr="001F4003">
        <w:trPr>
          <w:trHeight w:val="675"/>
        </w:trPr>
        <w:tc>
          <w:tcPr>
            <w:tcW w:w="987" w:type="pct"/>
          </w:tcPr>
          <w:p w14:paraId="457E149D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10E99E49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6D6A026D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16EBFA60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75F0E234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3522E0F9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161D8282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CC1" w14:paraId="10398AC0" w14:textId="77777777" w:rsidTr="001F4003">
        <w:trPr>
          <w:trHeight w:val="699"/>
        </w:trPr>
        <w:tc>
          <w:tcPr>
            <w:tcW w:w="987" w:type="pct"/>
          </w:tcPr>
          <w:p w14:paraId="603939EA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0E6FBA00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6F3F4C5E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6A619F18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3E2139C1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1BB17962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028A5708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CC1" w14:paraId="02FCC769" w14:textId="77777777" w:rsidTr="001F4003">
        <w:trPr>
          <w:trHeight w:val="641"/>
        </w:trPr>
        <w:tc>
          <w:tcPr>
            <w:tcW w:w="987" w:type="pct"/>
          </w:tcPr>
          <w:p w14:paraId="0A8CAE1D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52004827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6FDCF428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0A8F8344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3EAB8E5C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56814446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38251E00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CC1" w14:paraId="17718C48" w14:textId="77777777" w:rsidTr="001F4003">
        <w:trPr>
          <w:trHeight w:val="632"/>
        </w:trPr>
        <w:tc>
          <w:tcPr>
            <w:tcW w:w="987" w:type="pct"/>
          </w:tcPr>
          <w:p w14:paraId="367ABFB7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1E19AEA5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5A4DAE48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7123DECA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0826D509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54C7723D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0276824E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CC1" w14:paraId="7CBB6CD9" w14:textId="77777777" w:rsidTr="001F4003">
        <w:trPr>
          <w:trHeight w:val="686"/>
        </w:trPr>
        <w:tc>
          <w:tcPr>
            <w:tcW w:w="987" w:type="pct"/>
          </w:tcPr>
          <w:p w14:paraId="7A1F647F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215F51C7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60D0F9A9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4C06B557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3867A87E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7BB7B419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51852A7A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CC1" w14:paraId="45E9FB11" w14:textId="77777777" w:rsidTr="001F4003">
        <w:trPr>
          <w:trHeight w:val="686"/>
        </w:trPr>
        <w:tc>
          <w:tcPr>
            <w:tcW w:w="987" w:type="pct"/>
          </w:tcPr>
          <w:p w14:paraId="3D4BBB91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1D677189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247B4FAA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29ABFDC2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4632BC84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2376E0E8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229EECAA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CC1" w14:paraId="432D96FD" w14:textId="77777777" w:rsidTr="001F4003">
        <w:trPr>
          <w:trHeight w:val="686"/>
        </w:trPr>
        <w:tc>
          <w:tcPr>
            <w:tcW w:w="987" w:type="pct"/>
          </w:tcPr>
          <w:p w14:paraId="3C5195B1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20E86AF7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0F5C3A09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602B1680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700B2548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76A233DD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47AC971A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00827CE3" w14:textId="77777777" w:rsidTr="001F4003">
        <w:trPr>
          <w:trHeight w:val="686"/>
        </w:trPr>
        <w:tc>
          <w:tcPr>
            <w:tcW w:w="987" w:type="pct"/>
          </w:tcPr>
          <w:p w14:paraId="294FD27C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764AB882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2B954EC9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19FC3CBB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7CB27EE3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66BACA11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26E6D4E8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77B6B64E" w14:textId="77777777" w:rsidTr="001F4003">
        <w:trPr>
          <w:trHeight w:val="686"/>
        </w:trPr>
        <w:tc>
          <w:tcPr>
            <w:tcW w:w="987" w:type="pct"/>
          </w:tcPr>
          <w:p w14:paraId="59247D5F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67EA9D9F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2EADBD1F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5A3D185D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74DC9A46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4E175E40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71878999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7AC8F7C1" w14:textId="77777777" w:rsidTr="001F4003">
        <w:trPr>
          <w:trHeight w:val="686"/>
        </w:trPr>
        <w:tc>
          <w:tcPr>
            <w:tcW w:w="987" w:type="pct"/>
          </w:tcPr>
          <w:p w14:paraId="67EE1755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3401FBAF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4B214051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55AD31CD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705C5F29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22BB91FF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10DC9EE9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7D353652" w14:textId="77777777" w:rsidTr="001F4003">
        <w:trPr>
          <w:trHeight w:val="686"/>
        </w:trPr>
        <w:tc>
          <w:tcPr>
            <w:tcW w:w="987" w:type="pct"/>
          </w:tcPr>
          <w:p w14:paraId="210170B5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4F4D9151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6DCCA7CA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5F4DE8A4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4AE2C9F2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796A381B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7AF752ED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7F171883" w14:textId="77777777" w:rsidTr="001F4003">
        <w:trPr>
          <w:trHeight w:val="686"/>
        </w:trPr>
        <w:tc>
          <w:tcPr>
            <w:tcW w:w="987" w:type="pct"/>
          </w:tcPr>
          <w:p w14:paraId="4CD26B87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3F740305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60A49CA6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261A713C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5F76D7F9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6D4848BE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091B8056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6264609C" w14:textId="77777777" w:rsidTr="001F4003">
        <w:trPr>
          <w:trHeight w:val="686"/>
        </w:trPr>
        <w:tc>
          <w:tcPr>
            <w:tcW w:w="987" w:type="pct"/>
          </w:tcPr>
          <w:p w14:paraId="43953978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</w:tcPr>
          <w:p w14:paraId="4ECA9BAA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" w:type="pct"/>
          </w:tcPr>
          <w:p w14:paraId="4DC2B840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6" w:type="pct"/>
          </w:tcPr>
          <w:p w14:paraId="422353E1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6055B667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pct"/>
          </w:tcPr>
          <w:p w14:paraId="53437B30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</w:tcPr>
          <w:p w14:paraId="5ED9BE3F" w14:textId="77777777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E0FCF1A" w14:textId="440C490C" w:rsidR="009E6CC1" w:rsidRPr="005F7750" w:rsidRDefault="009E6CC1" w:rsidP="005F77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</w:t>
      </w:r>
      <w:r w:rsidR="005F775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Pr="00EE5099">
        <w:rPr>
          <w:rFonts w:ascii="Arial" w:hAnsi="Arial" w:cs="Arial"/>
          <w:b/>
          <w:bCs/>
        </w:rPr>
        <w:t>Registro de los equipos utilizados en la elaboración y control de preparaciones magistrales y oficinales: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065"/>
        <w:gridCol w:w="993"/>
        <w:gridCol w:w="1417"/>
        <w:gridCol w:w="4111"/>
      </w:tblGrid>
      <w:tr w:rsidR="009E6CC1" w14:paraId="448234FD" w14:textId="77777777" w:rsidTr="00161F8C">
        <w:tc>
          <w:tcPr>
            <w:tcW w:w="1765" w:type="dxa"/>
            <w:shd w:val="clear" w:color="auto" w:fill="BDD6EE" w:themeFill="accent1" w:themeFillTint="66"/>
          </w:tcPr>
          <w:p w14:paraId="6F890B28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Identificación del equipo</w:t>
            </w:r>
          </w:p>
        </w:tc>
        <w:tc>
          <w:tcPr>
            <w:tcW w:w="1065" w:type="dxa"/>
            <w:shd w:val="clear" w:color="auto" w:fill="BDD6EE" w:themeFill="accent1" w:themeFillTint="66"/>
          </w:tcPr>
          <w:p w14:paraId="777E0154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Marca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3805E0D6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Modelo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548F4C2E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de serie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14:paraId="186A63C5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 / Calibración (fecha)</w:t>
            </w:r>
          </w:p>
        </w:tc>
      </w:tr>
      <w:tr w:rsidR="00161F8C" w14:paraId="4FD4D287" w14:textId="77777777" w:rsidTr="00036015">
        <w:tc>
          <w:tcPr>
            <w:tcW w:w="1765" w:type="dxa"/>
          </w:tcPr>
          <w:p w14:paraId="2E897800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ACD5DC2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6392B96F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EE0CF23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1773633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35671D1E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3994244F" w14:textId="77777777" w:rsidTr="00036015">
        <w:tc>
          <w:tcPr>
            <w:tcW w:w="1765" w:type="dxa"/>
          </w:tcPr>
          <w:p w14:paraId="329D5B96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9CF5B76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02F4B322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088DD19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D96AEF9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38C35B58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4932D569" w14:textId="77777777" w:rsidTr="00036015">
        <w:tc>
          <w:tcPr>
            <w:tcW w:w="1765" w:type="dxa"/>
          </w:tcPr>
          <w:p w14:paraId="0341CB10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E17C88F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4175BBB7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CAF3AF0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974F2C3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2691FA0F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72D812ED" w14:textId="77777777" w:rsidTr="00036015">
        <w:tc>
          <w:tcPr>
            <w:tcW w:w="1765" w:type="dxa"/>
          </w:tcPr>
          <w:p w14:paraId="3E31ED51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C6A23E7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2EF028D7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E5B845D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7F1CFD5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02BEF560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11E43F9B" w14:textId="77777777" w:rsidTr="00036015">
        <w:tc>
          <w:tcPr>
            <w:tcW w:w="1765" w:type="dxa"/>
          </w:tcPr>
          <w:p w14:paraId="665B10FF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EA803FE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1EADFCB2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3C3EED7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EAE6E18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64C26D34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4F8C5858" w14:textId="77777777" w:rsidTr="00036015">
        <w:tc>
          <w:tcPr>
            <w:tcW w:w="1765" w:type="dxa"/>
          </w:tcPr>
          <w:p w14:paraId="7C68DD5E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E016AF7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77715D78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31BB955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9A1CBB7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7F112383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5113AD8B" w14:textId="77777777" w:rsidTr="00036015">
        <w:tc>
          <w:tcPr>
            <w:tcW w:w="1765" w:type="dxa"/>
          </w:tcPr>
          <w:p w14:paraId="5625F645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96587CA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1717183E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6C09BD6A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CB482DE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440D6620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42DAF0FB" w14:textId="77777777" w:rsidTr="00036015">
        <w:tc>
          <w:tcPr>
            <w:tcW w:w="1765" w:type="dxa"/>
          </w:tcPr>
          <w:p w14:paraId="7AF5981E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AD9A2F2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4A4CF50E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561FD72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B44AC59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34949312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2CD1DFB7" w14:textId="77777777" w:rsidTr="00036015">
        <w:tc>
          <w:tcPr>
            <w:tcW w:w="1765" w:type="dxa"/>
          </w:tcPr>
          <w:p w14:paraId="645BA60C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AFE0489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6E00BE01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2D861C15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CF024E1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73C377A5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F8C" w14:paraId="74335487" w14:textId="77777777" w:rsidTr="00036015">
        <w:tc>
          <w:tcPr>
            <w:tcW w:w="1765" w:type="dxa"/>
          </w:tcPr>
          <w:p w14:paraId="0A80432E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59DEB10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464FBD39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7C1B09A5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44E0C42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313909A2" w14:textId="77777777" w:rsidR="00161F8C" w:rsidRDefault="00161F8C" w:rsidP="0003601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CC1" w14:paraId="18A33384" w14:textId="77777777" w:rsidTr="00161F8C">
        <w:tc>
          <w:tcPr>
            <w:tcW w:w="1765" w:type="dxa"/>
          </w:tcPr>
          <w:p w14:paraId="46B35610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2379F22" w14:textId="312A8169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3AE0B14C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8FE7132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4497B08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0201C304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CC1" w14:paraId="675750E5" w14:textId="77777777" w:rsidTr="00161F8C">
        <w:tc>
          <w:tcPr>
            <w:tcW w:w="1765" w:type="dxa"/>
          </w:tcPr>
          <w:p w14:paraId="447636F0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7FC183C" w14:textId="68F97123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2D3A9901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3C0C81B9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6D95F30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1C258B22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CC1" w14:paraId="71DA6375" w14:textId="77777777" w:rsidTr="00161F8C">
        <w:tc>
          <w:tcPr>
            <w:tcW w:w="1765" w:type="dxa"/>
          </w:tcPr>
          <w:p w14:paraId="0B13D601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BC74E37" w14:textId="06266C42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48105278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3538B22A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B17D6AA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3C9316B1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CC1" w14:paraId="78B99C3E" w14:textId="77777777" w:rsidTr="00161F8C">
        <w:tc>
          <w:tcPr>
            <w:tcW w:w="1765" w:type="dxa"/>
          </w:tcPr>
          <w:p w14:paraId="5868473C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2267391" w14:textId="1305966B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782C6973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AD65092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ADDCB2D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59C86AE4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E6CC1" w14:paraId="4F59CDF2" w14:textId="77777777" w:rsidTr="00161F8C">
        <w:tc>
          <w:tcPr>
            <w:tcW w:w="1765" w:type="dxa"/>
          </w:tcPr>
          <w:p w14:paraId="0F7436F3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3ABFA8D" w14:textId="3381A3C3" w:rsidR="00161F8C" w:rsidRDefault="00161F8C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77B7A8CB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5BD36F14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9592B81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4CE6DA84" w14:textId="77777777" w:rsidR="009E6CC1" w:rsidRDefault="009E6CC1" w:rsidP="001F40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7F2AAF" w14:textId="32BAD1B8" w:rsidR="00F93B5F" w:rsidRPr="00EE5099" w:rsidRDefault="00F93B5F" w:rsidP="00161F8C">
      <w:pPr>
        <w:rPr>
          <w:rFonts w:ascii="Arial" w:hAnsi="Arial" w:cs="Arial"/>
          <w:b/>
        </w:rPr>
      </w:pPr>
    </w:p>
    <w:sectPr w:rsidR="00F93B5F" w:rsidRPr="00EE5099" w:rsidSect="00E21F24">
      <w:headerReference w:type="default" r:id="rId12"/>
      <w:footerReference w:type="default" r:id="rId13"/>
      <w:headerReference w:type="first" r:id="rId14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2FC4A" w14:textId="77777777" w:rsidR="000518C9" w:rsidRDefault="000518C9" w:rsidP="0074140F">
      <w:pPr>
        <w:spacing w:after="0" w:line="240" w:lineRule="auto"/>
      </w:pPr>
      <w:r>
        <w:separator/>
      </w:r>
    </w:p>
  </w:endnote>
  <w:endnote w:type="continuationSeparator" w:id="0">
    <w:p w14:paraId="126CAFC5" w14:textId="77777777" w:rsidR="000518C9" w:rsidRDefault="000518C9" w:rsidP="0074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78763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90AE7" w14:textId="77777777" w:rsidR="00716582" w:rsidRDefault="00716582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C42E23" w14:textId="77777777" w:rsidR="00716582" w:rsidRDefault="0071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A8EF6" w14:textId="77777777" w:rsidR="000518C9" w:rsidRDefault="000518C9" w:rsidP="0074140F">
      <w:pPr>
        <w:spacing w:after="0" w:line="240" w:lineRule="auto"/>
      </w:pPr>
      <w:r>
        <w:separator/>
      </w:r>
    </w:p>
  </w:footnote>
  <w:footnote w:type="continuationSeparator" w:id="0">
    <w:p w14:paraId="0B066C18" w14:textId="77777777" w:rsidR="000518C9" w:rsidRDefault="000518C9" w:rsidP="00741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93" w:type="dxa"/>
      <w:tblLook w:val="04A0" w:firstRow="1" w:lastRow="0" w:firstColumn="1" w:lastColumn="0" w:noHBand="0" w:noVBand="1"/>
    </w:tblPr>
    <w:tblGrid>
      <w:gridCol w:w="2942"/>
      <w:gridCol w:w="3290"/>
      <w:gridCol w:w="3261"/>
    </w:tblGrid>
    <w:tr w:rsidR="00716582" w14:paraId="4F8EBDA7" w14:textId="77777777" w:rsidTr="000E4CF9">
      <w:tc>
        <w:tcPr>
          <w:tcW w:w="2942" w:type="dxa"/>
        </w:tcPr>
        <w:p w14:paraId="781920D1" w14:textId="039B0876" w:rsidR="00716582" w:rsidRPr="00FB700D" w:rsidRDefault="00716582" w:rsidP="00250745">
          <w:pPr>
            <w:pStyle w:val="Header"/>
            <w:rPr>
              <w:b/>
              <w:bCs/>
            </w:rPr>
          </w:pPr>
          <w:r w:rsidRPr="00FB700D">
            <w:rPr>
              <w:b/>
              <w:bCs/>
              <w:color w:val="FF0000"/>
            </w:rPr>
            <w:t>[LOGO]</w:t>
          </w:r>
        </w:p>
      </w:tc>
      <w:tc>
        <w:tcPr>
          <w:tcW w:w="3290" w:type="dxa"/>
        </w:tcPr>
        <w:p w14:paraId="770CE038" w14:textId="77777777" w:rsidR="00716582" w:rsidRPr="007E5E0C" w:rsidRDefault="00716582" w:rsidP="00250745">
          <w:pPr>
            <w:spacing w:line="276" w:lineRule="auto"/>
            <w:jc w:val="center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[colocar nombre del establecimiento]</w:t>
          </w:r>
        </w:p>
      </w:tc>
      <w:tc>
        <w:tcPr>
          <w:tcW w:w="3261" w:type="dxa"/>
        </w:tcPr>
        <w:p w14:paraId="4402AC92" w14:textId="7F3F6F0E" w:rsidR="00716582" w:rsidRDefault="00716582" w:rsidP="00250745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Versión N°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35A329FE" w14:textId="77777777" w:rsidR="00716582" w:rsidRDefault="00716582" w:rsidP="00250745">
          <w:pPr>
            <w:pStyle w:val="Header"/>
          </w:pPr>
        </w:p>
      </w:tc>
    </w:tr>
    <w:tr w:rsidR="00716582" w14:paraId="2AFC0B79" w14:textId="77777777" w:rsidTr="000E4CF9">
      <w:trPr>
        <w:trHeight w:val="778"/>
      </w:trPr>
      <w:tc>
        <w:tcPr>
          <w:tcW w:w="6232" w:type="dxa"/>
          <w:gridSpan w:val="2"/>
        </w:tcPr>
        <w:p w14:paraId="320E9B57" w14:textId="16E19DB6" w:rsidR="00716582" w:rsidRDefault="00663292" w:rsidP="00250745">
          <w:pPr>
            <w:spacing w:line="276" w:lineRule="auto"/>
          </w:pPr>
          <w:r>
            <w:rPr>
              <w:rFonts w:ascii="Arial" w:hAnsi="Arial" w:cs="Arial"/>
              <w:b/>
              <w:sz w:val="28"/>
              <w:szCs w:val="28"/>
            </w:rPr>
            <w:t>P</w:t>
          </w:r>
          <w:r w:rsidRPr="007F6CDE">
            <w:rPr>
              <w:rFonts w:ascii="Arial" w:hAnsi="Arial" w:cs="Arial"/>
              <w:b/>
              <w:sz w:val="28"/>
              <w:szCs w:val="28"/>
            </w:rPr>
            <w:t>r</w:t>
          </w:r>
          <w:r>
            <w:rPr>
              <w:rFonts w:ascii="Arial" w:hAnsi="Arial" w:cs="Arial"/>
              <w:b/>
              <w:sz w:val="28"/>
              <w:szCs w:val="28"/>
            </w:rPr>
            <w:t>ocedimiento</w:t>
          </w:r>
          <w:r w:rsidRPr="007F6CDE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para la </w:t>
          </w:r>
          <w:r w:rsidRPr="006F7FC0">
            <w:rPr>
              <w:rFonts w:ascii="Arial" w:hAnsi="Arial" w:cs="Arial"/>
              <w:b/>
              <w:sz w:val="28"/>
              <w:szCs w:val="28"/>
            </w:rPr>
            <w:t>elaboración de preparaciones magistrales y oficinales en la farmacia</w:t>
          </w:r>
        </w:p>
      </w:tc>
      <w:tc>
        <w:tcPr>
          <w:tcW w:w="3261" w:type="dxa"/>
        </w:tcPr>
        <w:p w14:paraId="0637EFED" w14:textId="52C392FA" w:rsidR="00716582" w:rsidRPr="00AF12B3" w:rsidRDefault="00716582" w:rsidP="00AF12B3">
          <w:pPr>
            <w:spacing w:line="276" w:lineRule="auto"/>
            <w:rPr>
              <w:rFonts w:ascii="Arial" w:hAnsi="Arial" w:cs="Arial"/>
              <w:b/>
              <w:bCs/>
            </w:rPr>
          </w:pPr>
          <w:r w:rsidRPr="00AF12B3">
            <w:rPr>
              <w:rFonts w:ascii="Arial" w:hAnsi="Arial" w:cs="Arial"/>
              <w:b/>
              <w:bCs/>
            </w:rPr>
            <w:t>Fecha de creación: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elaboración del pro</w:t>
          </w:r>
          <w:r>
            <w:rPr>
              <w:rFonts w:ascii="Arial" w:hAnsi="Arial" w:cs="Arial"/>
              <w:b/>
              <w:bCs/>
              <w:color w:val="FF0000"/>
            </w:rPr>
            <w:t>cedimiento</w:t>
          </w:r>
          <w:r w:rsidRPr="00AF12B3">
            <w:rPr>
              <w:rFonts w:ascii="Arial" w:hAnsi="Arial" w:cs="Arial"/>
              <w:b/>
              <w:bCs/>
              <w:color w:val="FF0000"/>
            </w:rPr>
            <w:t>]</w:t>
          </w:r>
        </w:p>
      </w:tc>
    </w:tr>
    <w:tr w:rsidR="00716582" w14:paraId="2805CA40" w14:textId="77777777" w:rsidTr="000E4CF9">
      <w:trPr>
        <w:trHeight w:val="778"/>
      </w:trPr>
      <w:tc>
        <w:tcPr>
          <w:tcW w:w="6232" w:type="dxa"/>
          <w:gridSpan w:val="2"/>
        </w:tcPr>
        <w:p w14:paraId="2CED8A96" w14:textId="11B23E2E" w:rsidR="00716582" w:rsidRDefault="00716582" w:rsidP="00AF12B3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Elaborado por: </w:t>
          </w:r>
          <w:r w:rsidRPr="001E04BD">
            <w:rPr>
              <w:rFonts w:ascii="Arial" w:hAnsi="Arial" w:cs="Arial"/>
              <w:b/>
              <w:bCs/>
              <w:color w:val="FF0000"/>
            </w:rPr>
            <w:t>[</w:t>
          </w:r>
          <w:r>
            <w:rPr>
              <w:rFonts w:ascii="Arial" w:hAnsi="Arial" w:cs="Arial"/>
              <w:b/>
              <w:bCs/>
              <w:color w:val="FF0000"/>
            </w:rPr>
            <w:t>Colocar nombre y firma de la persona que elaboró el procedimiento</w:t>
          </w:r>
          <w:r w:rsidRPr="001E04BD">
            <w:rPr>
              <w:rFonts w:ascii="Arial" w:hAnsi="Arial" w:cs="Arial"/>
              <w:b/>
              <w:bCs/>
              <w:color w:val="FF0000"/>
            </w:rPr>
            <w:t>]</w:t>
          </w:r>
        </w:p>
        <w:p w14:paraId="1EFE5445" w14:textId="77777777" w:rsidR="00716582" w:rsidRPr="009F045C" w:rsidRDefault="00716582" w:rsidP="00250745">
          <w:pPr>
            <w:spacing w:line="276" w:lineRule="auto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3261" w:type="dxa"/>
        </w:tcPr>
        <w:p w14:paraId="1DF3AB78" w14:textId="03622D80" w:rsidR="00716582" w:rsidRPr="001E04BD" w:rsidRDefault="00716582" w:rsidP="00250745">
          <w:pPr>
            <w:spacing w:line="276" w:lineRule="auto"/>
            <w:rPr>
              <w:rFonts w:ascii="Arial" w:hAnsi="Arial" w:cs="Arial"/>
              <w:b/>
              <w:bCs/>
              <w:color w:val="FF0000"/>
            </w:rPr>
          </w:pPr>
          <w:r w:rsidRPr="00AF12B3">
            <w:rPr>
              <w:rFonts w:ascii="Arial" w:hAnsi="Arial" w:cs="Arial"/>
              <w:b/>
              <w:bCs/>
            </w:rPr>
            <w:t xml:space="preserve">Fecha de próxima revisión: </w:t>
          </w:r>
          <w:r w:rsidRPr="00AF12B3">
            <w:rPr>
              <w:rFonts w:ascii="Arial" w:hAnsi="Arial" w:cs="Arial"/>
              <w:b/>
              <w:bCs/>
              <w:color w:val="FF0000"/>
            </w:rPr>
            <w:t>[colocar fecha de la próxima revisión]</w:t>
          </w:r>
        </w:p>
      </w:tc>
    </w:tr>
  </w:tbl>
  <w:p w14:paraId="2250F986" w14:textId="77777777" w:rsidR="00716582" w:rsidRDefault="00716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F8275" w14:textId="77777777" w:rsidR="00716582" w:rsidRPr="00C93C5A" w:rsidRDefault="00716582" w:rsidP="00250745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60AD944B" wp14:editId="7E1EEF76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294818" cy="657225"/>
          <wp:effectExtent l="0" t="0" r="635" b="0"/>
          <wp:wrapTight wrapText="bothSides">
            <wp:wrapPolygon edited="0">
              <wp:start x="0" y="0"/>
              <wp:lineTo x="0" y="20661"/>
              <wp:lineTo x="21293" y="20661"/>
              <wp:lineTo x="21293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 LOGO COLF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818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rPr>
        <w:rFonts w:ascii="Arial" w:hAnsi="Arial" w:cs="Arial"/>
        <w:b/>
        <w:bCs/>
        <w:noProof/>
        <w:lang w:eastAsia="es-ES"/>
      </w:rPr>
      <w:t xml:space="preserve">  </w:t>
    </w:r>
    <w:r w:rsidRPr="00C93C5A">
      <w:rPr>
        <w:rFonts w:ascii="Arial" w:hAnsi="Arial" w:cs="Arial"/>
        <w:b/>
        <w:bCs/>
      </w:rPr>
      <w:t>Colegio de Farmacéuticos de Costa Rica</w:t>
    </w:r>
  </w:p>
  <w:p w14:paraId="011C838C" w14:textId="77777777" w:rsidR="00716582" w:rsidRPr="00C93C5A" w:rsidRDefault="00716582" w:rsidP="00250745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</w:rPr>
      <w:t>Departamento de Fiscalía</w:t>
    </w:r>
  </w:p>
  <w:p w14:paraId="3DEF3873" w14:textId="62C4803D" w:rsidR="00716582" w:rsidRPr="00C93C5A" w:rsidRDefault="00716582" w:rsidP="00250745">
    <w:pPr>
      <w:pStyle w:val="Header"/>
      <w:jc w:val="right"/>
      <w:rPr>
        <w:rFonts w:ascii="Arial" w:hAnsi="Arial" w:cs="Arial"/>
        <w:b/>
        <w:bCs/>
      </w:rPr>
    </w:pPr>
    <w:r w:rsidRPr="00C93C5A">
      <w:rPr>
        <w:rFonts w:ascii="Arial" w:hAnsi="Arial" w:cs="Arial"/>
        <w:b/>
        <w:bCs/>
      </w:rPr>
      <w:t>20</w:t>
    </w:r>
    <w:r>
      <w:rPr>
        <w:rFonts w:ascii="Arial" w:hAnsi="Arial" w:cs="Arial"/>
        <w:b/>
        <w:bCs/>
      </w:rPr>
      <w:t>20</w:t>
    </w:r>
  </w:p>
  <w:p w14:paraId="1D555C29" w14:textId="77777777" w:rsidR="00716582" w:rsidRDefault="00716582" w:rsidP="00741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2AF1"/>
    <w:multiLevelType w:val="hybridMultilevel"/>
    <w:tmpl w:val="335801EC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66D39"/>
    <w:multiLevelType w:val="hybridMultilevel"/>
    <w:tmpl w:val="E0E09426"/>
    <w:lvl w:ilvl="0" w:tplc="E8465E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41C8"/>
    <w:multiLevelType w:val="hybridMultilevel"/>
    <w:tmpl w:val="4490A23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B71"/>
    <w:multiLevelType w:val="hybridMultilevel"/>
    <w:tmpl w:val="EEA01976"/>
    <w:lvl w:ilvl="0" w:tplc="31086B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2E14"/>
    <w:multiLevelType w:val="hybridMultilevel"/>
    <w:tmpl w:val="EBBEA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9DA"/>
    <w:multiLevelType w:val="hybridMultilevel"/>
    <w:tmpl w:val="E84A2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135B4"/>
    <w:multiLevelType w:val="hybridMultilevel"/>
    <w:tmpl w:val="149A99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F357C"/>
    <w:multiLevelType w:val="hybridMultilevel"/>
    <w:tmpl w:val="0F405F0E"/>
    <w:lvl w:ilvl="0" w:tplc="140A0017">
      <w:start w:val="1"/>
      <w:numFmt w:val="lowerLetter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A7F24"/>
    <w:multiLevelType w:val="hybridMultilevel"/>
    <w:tmpl w:val="C638F2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E106F"/>
    <w:multiLevelType w:val="hybridMultilevel"/>
    <w:tmpl w:val="653C0A54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EC0149"/>
    <w:multiLevelType w:val="hybridMultilevel"/>
    <w:tmpl w:val="DF3EF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F6853"/>
    <w:multiLevelType w:val="hybridMultilevel"/>
    <w:tmpl w:val="2C96D6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7625A"/>
    <w:multiLevelType w:val="hybridMultilevel"/>
    <w:tmpl w:val="B72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6F2F"/>
    <w:multiLevelType w:val="hybridMultilevel"/>
    <w:tmpl w:val="58C4E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862AC"/>
    <w:multiLevelType w:val="hybridMultilevel"/>
    <w:tmpl w:val="C982270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C41C6"/>
    <w:multiLevelType w:val="singleLevel"/>
    <w:tmpl w:val="1666BD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21B6F2C"/>
    <w:multiLevelType w:val="hybridMultilevel"/>
    <w:tmpl w:val="85D26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85D68"/>
    <w:multiLevelType w:val="hybridMultilevel"/>
    <w:tmpl w:val="8E28F59E"/>
    <w:lvl w:ilvl="0" w:tplc="D3646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F4E6B"/>
    <w:multiLevelType w:val="hybridMultilevel"/>
    <w:tmpl w:val="5F8E5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C0271"/>
    <w:multiLevelType w:val="hybridMultilevel"/>
    <w:tmpl w:val="B53EA3CE"/>
    <w:lvl w:ilvl="0" w:tplc="6B80B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10D10"/>
    <w:multiLevelType w:val="hybridMultilevel"/>
    <w:tmpl w:val="E0C6B46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8479F"/>
    <w:multiLevelType w:val="hybridMultilevel"/>
    <w:tmpl w:val="D62CF2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082953"/>
    <w:multiLevelType w:val="hybridMultilevel"/>
    <w:tmpl w:val="0D860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E2E0A"/>
    <w:multiLevelType w:val="hybridMultilevel"/>
    <w:tmpl w:val="DA6868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D3440"/>
    <w:multiLevelType w:val="hybridMultilevel"/>
    <w:tmpl w:val="4D342AB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D93187"/>
    <w:multiLevelType w:val="hybridMultilevel"/>
    <w:tmpl w:val="9C3ACB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818FE"/>
    <w:multiLevelType w:val="hybridMultilevel"/>
    <w:tmpl w:val="E9F4C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4CDF"/>
    <w:multiLevelType w:val="hybridMultilevel"/>
    <w:tmpl w:val="97087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A42A1"/>
    <w:multiLevelType w:val="hybridMultilevel"/>
    <w:tmpl w:val="2B2C89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56884"/>
    <w:multiLevelType w:val="hybridMultilevel"/>
    <w:tmpl w:val="C366AA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63C4A"/>
    <w:multiLevelType w:val="hybridMultilevel"/>
    <w:tmpl w:val="2528E144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1B3A1D"/>
    <w:multiLevelType w:val="hybridMultilevel"/>
    <w:tmpl w:val="5A7CC5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45C5C"/>
    <w:multiLevelType w:val="hybridMultilevel"/>
    <w:tmpl w:val="1E90F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734C9"/>
    <w:multiLevelType w:val="hybridMultilevel"/>
    <w:tmpl w:val="5F6050F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E498F"/>
    <w:multiLevelType w:val="hybridMultilevel"/>
    <w:tmpl w:val="CA10562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11720"/>
    <w:multiLevelType w:val="hybridMultilevel"/>
    <w:tmpl w:val="AB100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9"/>
  </w:num>
  <w:num w:numId="4">
    <w:abstractNumId w:val="18"/>
  </w:num>
  <w:num w:numId="5">
    <w:abstractNumId w:val="15"/>
  </w:num>
  <w:num w:numId="6">
    <w:abstractNumId w:val="4"/>
  </w:num>
  <w:num w:numId="7">
    <w:abstractNumId w:val="35"/>
  </w:num>
  <w:num w:numId="8">
    <w:abstractNumId w:val="12"/>
  </w:num>
  <w:num w:numId="9">
    <w:abstractNumId w:val="13"/>
  </w:num>
  <w:num w:numId="10">
    <w:abstractNumId w:val="16"/>
  </w:num>
  <w:num w:numId="11">
    <w:abstractNumId w:val="5"/>
  </w:num>
  <w:num w:numId="12">
    <w:abstractNumId w:val="22"/>
  </w:num>
  <w:num w:numId="13">
    <w:abstractNumId w:val="27"/>
  </w:num>
  <w:num w:numId="14">
    <w:abstractNumId w:val="32"/>
  </w:num>
  <w:num w:numId="15">
    <w:abstractNumId w:val="26"/>
  </w:num>
  <w:num w:numId="16">
    <w:abstractNumId w:val="17"/>
  </w:num>
  <w:num w:numId="17">
    <w:abstractNumId w:val="24"/>
  </w:num>
  <w:num w:numId="18">
    <w:abstractNumId w:val="21"/>
  </w:num>
  <w:num w:numId="19">
    <w:abstractNumId w:val="7"/>
  </w:num>
  <w:num w:numId="20">
    <w:abstractNumId w:val="28"/>
  </w:num>
  <w:num w:numId="21">
    <w:abstractNumId w:val="19"/>
  </w:num>
  <w:num w:numId="22">
    <w:abstractNumId w:val="11"/>
  </w:num>
  <w:num w:numId="23">
    <w:abstractNumId w:val="34"/>
  </w:num>
  <w:num w:numId="24">
    <w:abstractNumId w:val="14"/>
  </w:num>
  <w:num w:numId="25">
    <w:abstractNumId w:val="20"/>
  </w:num>
  <w:num w:numId="26">
    <w:abstractNumId w:val="2"/>
  </w:num>
  <w:num w:numId="27">
    <w:abstractNumId w:val="31"/>
  </w:num>
  <w:num w:numId="28">
    <w:abstractNumId w:val="33"/>
  </w:num>
  <w:num w:numId="29">
    <w:abstractNumId w:val="25"/>
  </w:num>
  <w:num w:numId="30">
    <w:abstractNumId w:val="23"/>
  </w:num>
  <w:num w:numId="31">
    <w:abstractNumId w:val="3"/>
  </w:num>
  <w:num w:numId="32">
    <w:abstractNumId w:val="30"/>
  </w:num>
  <w:num w:numId="33">
    <w:abstractNumId w:val="0"/>
  </w:num>
  <w:num w:numId="34">
    <w:abstractNumId w:val="8"/>
  </w:num>
  <w:num w:numId="35">
    <w:abstractNumId w:val="1"/>
  </w:num>
  <w:num w:numId="3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01"/>
    <w:rsid w:val="00004674"/>
    <w:rsid w:val="00005ACF"/>
    <w:rsid w:val="00005B27"/>
    <w:rsid w:val="00015E91"/>
    <w:rsid w:val="000309A9"/>
    <w:rsid w:val="00030CDC"/>
    <w:rsid w:val="00033840"/>
    <w:rsid w:val="00035AD3"/>
    <w:rsid w:val="000518C9"/>
    <w:rsid w:val="0005192E"/>
    <w:rsid w:val="000623C3"/>
    <w:rsid w:val="00072FB1"/>
    <w:rsid w:val="00080A80"/>
    <w:rsid w:val="00083F2A"/>
    <w:rsid w:val="0008724A"/>
    <w:rsid w:val="00090E69"/>
    <w:rsid w:val="000A63B6"/>
    <w:rsid w:val="000B1650"/>
    <w:rsid w:val="000B22DB"/>
    <w:rsid w:val="000C3F4A"/>
    <w:rsid w:val="000E248C"/>
    <w:rsid w:val="000E4CF9"/>
    <w:rsid w:val="000E5298"/>
    <w:rsid w:val="000F2124"/>
    <w:rsid w:val="000F6687"/>
    <w:rsid w:val="00112A31"/>
    <w:rsid w:val="00117F51"/>
    <w:rsid w:val="0012429C"/>
    <w:rsid w:val="0013538D"/>
    <w:rsid w:val="0014542C"/>
    <w:rsid w:val="0015059B"/>
    <w:rsid w:val="00161F8C"/>
    <w:rsid w:val="00180B78"/>
    <w:rsid w:val="00180C25"/>
    <w:rsid w:val="00185458"/>
    <w:rsid w:val="00190DAD"/>
    <w:rsid w:val="00190EE9"/>
    <w:rsid w:val="00195D50"/>
    <w:rsid w:val="001A25D8"/>
    <w:rsid w:val="001A3503"/>
    <w:rsid w:val="001A63FA"/>
    <w:rsid w:val="001A753D"/>
    <w:rsid w:val="001C01EF"/>
    <w:rsid w:val="001D180F"/>
    <w:rsid w:val="001D7890"/>
    <w:rsid w:val="001E5E4E"/>
    <w:rsid w:val="001E7B17"/>
    <w:rsid w:val="00202289"/>
    <w:rsid w:val="00203022"/>
    <w:rsid w:val="00217BAF"/>
    <w:rsid w:val="0022221C"/>
    <w:rsid w:val="00223D71"/>
    <w:rsid w:val="00250745"/>
    <w:rsid w:val="00255A87"/>
    <w:rsid w:val="002564CF"/>
    <w:rsid w:val="00257731"/>
    <w:rsid w:val="00273118"/>
    <w:rsid w:val="00273231"/>
    <w:rsid w:val="0027584D"/>
    <w:rsid w:val="00275FE3"/>
    <w:rsid w:val="00285E35"/>
    <w:rsid w:val="002A2D80"/>
    <w:rsid w:val="002B615C"/>
    <w:rsid w:val="002E5519"/>
    <w:rsid w:val="002F3C80"/>
    <w:rsid w:val="002F6317"/>
    <w:rsid w:val="00304982"/>
    <w:rsid w:val="00314092"/>
    <w:rsid w:val="00314BDF"/>
    <w:rsid w:val="0031517C"/>
    <w:rsid w:val="003158EE"/>
    <w:rsid w:val="00315CDA"/>
    <w:rsid w:val="00316099"/>
    <w:rsid w:val="0032542F"/>
    <w:rsid w:val="00326A2B"/>
    <w:rsid w:val="0037549A"/>
    <w:rsid w:val="003844ED"/>
    <w:rsid w:val="0038695C"/>
    <w:rsid w:val="00393776"/>
    <w:rsid w:val="003A3FE0"/>
    <w:rsid w:val="003B2D89"/>
    <w:rsid w:val="003C75C0"/>
    <w:rsid w:val="003E2C81"/>
    <w:rsid w:val="003E408E"/>
    <w:rsid w:val="003F00E9"/>
    <w:rsid w:val="003F011E"/>
    <w:rsid w:val="003F1334"/>
    <w:rsid w:val="003F22A7"/>
    <w:rsid w:val="003F61EA"/>
    <w:rsid w:val="00421C56"/>
    <w:rsid w:val="00430235"/>
    <w:rsid w:val="00433E1D"/>
    <w:rsid w:val="004364DE"/>
    <w:rsid w:val="00445267"/>
    <w:rsid w:val="00451454"/>
    <w:rsid w:val="00451EA7"/>
    <w:rsid w:val="00452E72"/>
    <w:rsid w:val="0045395F"/>
    <w:rsid w:val="00457412"/>
    <w:rsid w:val="00460612"/>
    <w:rsid w:val="0047736B"/>
    <w:rsid w:val="0048091B"/>
    <w:rsid w:val="0048461D"/>
    <w:rsid w:val="00490B22"/>
    <w:rsid w:val="004C2EEE"/>
    <w:rsid w:val="004C70B6"/>
    <w:rsid w:val="004E30B5"/>
    <w:rsid w:val="004E3179"/>
    <w:rsid w:val="004F61ED"/>
    <w:rsid w:val="00500D5E"/>
    <w:rsid w:val="00502220"/>
    <w:rsid w:val="00506381"/>
    <w:rsid w:val="00510740"/>
    <w:rsid w:val="00523161"/>
    <w:rsid w:val="005241F9"/>
    <w:rsid w:val="005264F8"/>
    <w:rsid w:val="00533C93"/>
    <w:rsid w:val="00536615"/>
    <w:rsid w:val="00540858"/>
    <w:rsid w:val="0054288F"/>
    <w:rsid w:val="00552DB3"/>
    <w:rsid w:val="005672F1"/>
    <w:rsid w:val="0057098C"/>
    <w:rsid w:val="00577F88"/>
    <w:rsid w:val="00582427"/>
    <w:rsid w:val="00583F49"/>
    <w:rsid w:val="005871F9"/>
    <w:rsid w:val="00595791"/>
    <w:rsid w:val="005A2F30"/>
    <w:rsid w:val="005D5C36"/>
    <w:rsid w:val="005D7401"/>
    <w:rsid w:val="005F7750"/>
    <w:rsid w:val="00607409"/>
    <w:rsid w:val="0062093D"/>
    <w:rsid w:val="00645580"/>
    <w:rsid w:val="00650EFF"/>
    <w:rsid w:val="00662A43"/>
    <w:rsid w:val="00663292"/>
    <w:rsid w:val="00663437"/>
    <w:rsid w:val="0066363D"/>
    <w:rsid w:val="00667E04"/>
    <w:rsid w:val="006715D7"/>
    <w:rsid w:val="0068490F"/>
    <w:rsid w:val="00686852"/>
    <w:rsid w:val="006A0300"/>
    <w:rsid w:val="006B6098"/>
    <w:rsid w:val="006B6E5A"/>
    <w:rsid w:val="006D0950"/>
    <w:rsid w:val="006E0EE9"/>
    <w:rsid w:val="006E4179"/>
    <w:rsid w:val="006F2A3B"/>
    <w:rsid w:val="006F78BD"/>
    <w:rsid w:val="006F7FC0"/>
    <w:rsid w:val="0070759D"/>
    <w:rsid w:val="00716582"/>
    <w:rsid w:val="0072537A"/>
    <w:rsid w:val="00733B8B"/>
    <w:rsid w:val="0074140F"/>
    <w:rsid w:val="0074227A"/>
    <w:rsid w:val="0075054C"/>
    <w:rsid w:val="007535F4"/>
    <w:rsid w:val="0076141E"/>
    <w:rsid w:val="00763DC0"/>
    <w:rsid w:val="007673DB"/>
    <w:rsid w:val="0078623F"/>
    <w:rsid w:val="007942DE"/>
    <w:rsid w:val="007A4B56"/>
    <w:rsid w:val="007A745F"/>
    <w:rsid w:val="007B277F"/>
    <w:rsid w:val="007B5047"/>
    <w:rsid w:val="007B50E8"/>
    <w:rsid w:val="007C10DF"/>
    <w:rsid w:val="007E71F6"/>
    <w:rsid w:val="007F5C8D"/>
    <w:rsid w:val="007F5D7F"/>
    <w:rsid w:val="007F6CDE"/>
    <w:rsid w:val="008044F6"/>
    <w:rsid w:val="00815462"/>
    <w:rsid w:val="00827ED5"/>
    <w:rsid w:val="00847F74"/>
    <w:rsid w:val="008527E2"/>
    <w:rsid w:val="00856204"/>
    <w:rsid w:val="00877642"/>
    <w:rsid w:val="00880741"/>
    <w:rsid w:val="008B0F46"/>
    <w:rsid w:val="008B1D9F"/>
    <w:rsid w:val="008C6503"/>
    <w:rsid w:val="008D0B71"/>
    <w:rsid w:val="00900D74"/>
    <w:rsid w:val="009115C5"/>
    <w:rsid w:val="00925F2D"/>
    <w:rsid w:val="0093530A"/>
    <w:rsid w:val="00936F57"/>
    <w:rsid w:val="0094406A"/>
    <w:rsid w:val="00947F27"/>
    <w:rsid w:val="00974BF7"/>
    <w:rsid w:val="0099573F"/>
    <w:rsid w:val="009A7D16"/>
    <w:rsid w:val="009C3FCB"/>
    <w:rsid w:val="009C6C7F"/>
    <w:rsid w:val="009D38A9"/>
    <w:rsid w:val="009E6C82"/>
    <w:rsid w:val="009E6CC1"/>
    <w:rsid w:val="009F045C"/>
    <w:rsid w:val="009F5E4F"/>
    <w:rsid w:val="00A00E71"/>
    <w:rsid w:val="00A06708"/>
    <w:rsid w:val="00A1006D"/>
    <w:rsid w:val="00A146A6"/>
    <w:rsid w:val="00A217DF"/>
    <w:rsid w:val="00A24533"/>
    <w:rsid w:val="00A27724"/>
    <w:rsid w:val="00A32E28"/>
    <w:rsid w:val="00A33CBA"/>
    <w:rsid w:val="00A438E3"/>
    <w:rsid w:val="00A45417"/>
    <w:rsid w:val="00A505B0"/>
    <w:rsid w:val="00A71211"/>
    <w:rsid w:val="00A83917"/>
    <w:rsid w:val="00A87030"/>
    <w:rsid w:val="00AB0E4C"/>
    <w:rsid w:val="00AB2735"/>
    <w:rsid w:val="00AC522E"/>
    <w:rsid w:val="00AD1B35"/>
    <w:rsid w:val="00AD2FAE"/>
    <w:rsid w:val="00AE0A49"/>
    <w:rsid w:val="00AE3138"/>
    <w:rsid w:val="00AF12B3"/>
    <w:rsid w:val="00B003AE"/>
    <w:rsid w:val="00B02E55"/>
    <w:rsid w:val="00B15130"/>
    <w:rsid w:val="00B321DA"/>
    <w:rsid w:val="00B358AA"/>
    <w:rsid w:val="00B42A66"/>
    <w:rsid w:val="00B55160"/>
    <w:rsid w:val="00B71456"/>
    <w:rsid w:val="00B80529"/>
    <w:rsid w:val="00B8187B"/>
    <w:rsid w:val="00BB3C84"/>
    <w:rsid w:val="00BB5089"/>
    <w:rsid w:val="00BC03CC"/>
    <w:rsid w:val="00BE592D"/>
    <w:rsid w:val="00BE6A37"/>
    <w:rsid w:val="00BE781B"/>
    <w:rsid w:val="00BF35A7"/>
    <w:rsid w:val="00C02CCF"/>
    <w:rsid w:val="00C15552"/>
    <w:rsid w:val="00C31FE3"/>
    <w:rsid w:val="00C35622"/>
    <w:rsid w:val="00C3779B"/>
    <w:rsid w:val="00C51C1A"/>
    <w:rsid w:val="00C65F38"/>
    <w:rsid w:val="00C90E15"/>
    <w:rsid w:val="00C95676"/>
    <w:rsid w:val="00C96F8C"/>
    <w:rsid w:val="00CB53FD"/>
    <w:rsid w:val="00CE5ECF"/>
    <w:rsid w:val="00CF4642"/>
    <w:rsid w:val="00CF708D"/>
    <w:rsid w:val="00D04615"/>
    <w:rsid w:val="00D04EFF"/>
    <w:rsid w:val="00D11538"/>
    <w:rsid w:val="00D15C28"/>
    <w:rsid w:val="00D239CE"/>
    <w:rsid w:val="00D30555"/>
    <w:rsid w:val="00D37598"/>
    <w:rsid w:val="00D37ADD"/>
    <w:rsid w:val="00D93BFC"/>
    <w:rsid w:val="00DA1D58"/>
    <w:rsid w:val="00DA27B7"/>
    <w:rsid w:val="00DB1785"/>
    <w:rsid w:val="00DE2CB7"/>
    <w:rsid w:val="00DF1019"/>
    <w:rsid w:val="00E1071D"/>
    <w:rsid w:val="00E2097E"/>
    <w:rsid w:val="00E21F24"/>
    <w:rsid w:val="00E31213"/>
    <w:rsid w:val="00E31BCE"/>
    <w:rsid w:val="00E37CAE"/>
    <w:rsid w:val="00E601F0"/>
    <w:rsid w:val="00E640BE"/>
    <w:rsid w:val="00E66A9E"/>
    <w:rsid w:val="00E7531F"/>
    <w:rsid w:val="00E7780F"/>
    <w:rsid w:val="00E84771"/>
    <w:rsid w:val="00E95547"/>
    <w:rsid w:val="00EC573A"/>
    <w:rsid w:val="00ED2748"/>
    <w:rsid w:val="00EE5099"/>
    <w:rsid w:val="00EE5BC4"/>
    <w:rsid w:val="00EE5C88"/>
    <w:rsid w:val="00EE7951"/>
    <w:rsid w:val="00EF481E"/>
    <w:rsid w:val="00F0471C"/>
    <w:rsid w:val="00F067D4"/>
    <w:rsid w:val="00F071AE"/>
    <w:rsid w:val="00F143D3"/>
    <w:rsid w:val="00F2072E"/>
    <w:rsid w:val="00F23B57"/>
    <w:rsid w:val="00F26DAB"/>
    <w:rsid w:val="00F31E90"/>
    <w:rsid w:val="00F40A01"/>
    <w:rsid w:val="00F41DA6"/>
    <w:rsid w:val="00F92DE4"/>
    <w:rsid w:val="00F93B5F"/>
    <w:rsid w:val="00FA2534"/>
    <w:rsid w:val="00FB3B68"/>
    <w:rsid w:val="00FB5960"/>
    <w:rsid w:val="00FB700D"/>
    <w:rsid w:val="00FE7E9E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518F"/>
  <w15:chartTrackingRefBased/>
  <w15:docId w15:val="{8CCB512D-3D94-463B-A984-100E9369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R"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4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03C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254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E0A49"/>
    <w:pPr>
      <w:spacing w:after="0" w:line="240" w:lineRule="auto"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0F"/>
  </w:style>
  <w:style w:type="paragraph" w:styleId="Footer">
    <w:name w:val="footer"/>
    <w:basedOn w:val="Normal"/>
    <w:link w:val="FooterChar"/>
    <w:uiPriority w:val="99"/>
    <w:unhideWhenUsed/>
    <w:rsid w:val="00741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0F"/>
  </w:style>
  <w:style w:type="table" w:styleId="GridTable4-Accent5">
    <w:name w:val="Grid Table 4 Accent 5"/>
    <w:basedOn w:val="TableNormal"/>
    <w:uiPriority w:val="49"/>
    <w:rsid w:val="00827ED5"/>
    <w:pPr>
      <w:spacing w:after="0" w:line="240" w:lineRule="auto"/>
    </w:pPr>
    <w:rPr>
      <w:lang w:val="es-C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D38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R" w:eastAsia="es-CR"/>
    </w:rPr>
  </w:style>
  <w:style w:type="paragraph" w:styleId="Bibliography">
    <w:name w:val="Bibliography"/>
    <w:basedOn w:val="Normal"/>
    <w:next w:val="Normal"/>
    <w:uiPriority w:val="37"/>
    <w:unhideWhenUsed/>
    <w:rsid w:val="009D38A9"/>
  </w:style>
  <w:style w:type="paragraph" w:styleId="BalloonText">
    <w:name w:val="Balloon Text"/>
    <w:basedOn w:val="Normal"/>
    <w:link w:val="BalloonTextChar"/>
    <w:uiPriority w:val="99"/>
    <w:semiHidden/>
    <w:unhideWhenUsed/>
    <w:rsid w:val="00AE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64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3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437"/>
    <w:pPr>
      <w:spacing w:line="240" w:lineRule="auto"/>
    </w:pPr>
    <w:rPr>
      <w:sz w:val="20"/>
      <w:szCs w:val="20"/>
      <w:lang w:val="es-C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437"/>
    <w:rPr>
      <w:sz w:val="20"/>
      <w:szCs w:val="20"/>
      <w:lang w:val="es-C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A01"/>
    <w:rPr>
      <w:b/>
      <w:bCs/>
      <w:lang w:val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A01"/>
    <w:rPr>
      <w:b/>
      <w:bCs/>
      <w:sz w:val="20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.go.cr/portalicd/index.php/dj-sanjose/tcj-sanjose-gj/73-fhatillo-3s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deami.net/docs/docs/cooperacion/guias_formulario_iberoamericano/01_Guia_de_buenas_practicas_elaboracion_control_calidad_preparaciones_magistrales_oficinal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fh.es/sefhpdfs/GuiaBPP_JUNIO_2014_VF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Man04</b:Tag>
    <b:SourceType>ArticleInAPeriodical</b:SourceType>
    <b:Guid>{E59CFEDF-3DFA-4296-9992-17D7C8E8F670}</b:Guid>
    <b:Title>Manual de normas para la habilitación de farmacias</b:Title>
    <b:PeriodicalTitle>Diario Oficial La Gaceta</b:PeriodicalTitle>
    <b:Year>2004</b:Year>
    <b:Month>septiembre</b:Month>
    <b:Day>7</b:Day>
    <b:RefOrder>3</b:RefOrder>
  </b:Source>
  <b:Source>
    <b:Tag>Caj11</b:Tag>
    <b:SourceType>DocumentFromInternetSite</b:SourceType>
    <b:Guid>{475F82D2-30D3-40B0-BD56-E6ACFBAA1305}</b:Guid>
    <b:Author>
      <b:Author>
        <b:Corporate>Caja Costarricense del Seguro Social</b:Corporate>
      </b:Author>
    </b:Author>
    <b:Title>Norma para el manejo de desechos peligrosos en establecimientos de salud</b:Title>
    <b:Year>2011</b:Year>
    <b:URL>https://www.ccss.sa.cr/normativa</b:URL>
    <b:RefOrder>4</b:RefOrder>
  </b:Source>
  <b:Source>
    <b:Tag>Reg101</b:Tag>
    <b:SourceType>ArticleInAPeriodical</b:SourceType>
    <b:Guid>{F69B968A-9DF5-403B-A0C6-4D7D9A6A2BBE}</b:Guid>
    <b:Title>Reglamento sobre el manejo de residuos sólidos ordinarios</b:Title>
    <b:Year>2010</b:Year>
    <b:Month>Agosto</b:Month>
    <b:Day>16</b:Day>
    <b:PeriodicalTitle>Diario Oficial La Gaceta</b:PeriodicalTitle>
    <b:RefOrder>1</b:RefOrder>
  </b:Source>
  <b:Source>
    <b:Tag>Reg03</b:Tag>
    <b:SourceType>ArticleInAPeriodical</b:SourceType>
    <b:Guid>{B7F9BACE-622E-4F31-B6B9-30BA77475F5D}</b:Guid>
    <b:Title>Reglamento sobre la gestión de los desechos infectocontagiosos que se generan en establecimientos que prestan atención a la salud y afines</b:Title>
    <b:PeriodicalTitle>Diario Oficial La Gaceta</b:PeriodicalTitle>
    <b:Year>2003</b:Year>
    <b:Month>febrero</b:Month>
    <b:Day>3</b:Day>
    <b:RefOrder>2</b:RefOrder>
  </b:Source>
</b:Sources>
</file>

<file path=customXml/itemProps1.xml><?xml version="1.0" encoding="utf-8"?>
<ds:datastoreItem xmlns:ds="http://schemas.openxmlformats.org/officeDocument/2006/customXml" ds:itemID="{5CFE982C-767A-40CD-9CEB-05594486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4116</Words>
  <Characters>22644</Characters>
  <Application>Microsoft Office Word</Application>
  <DocSecurity>0</DocSecurity>
  <Lines>188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Elizondo</dc:creator>
  <cp:keywords/>
  <dc:description/>
  <cp:lastModifiedBy>Kwan Kwok Ching</cp:lastModifiedBy>
  <cp:revision>2</cp:revision>
  <dcterms:created xsi:type="dcterms:W3CDTF">2020-07-27T00:15:00Z</dcterms:created>
  <dcterms:modified xsi:type="dcterms:W3CDTF">2020-07-27T00:15:00Z</dcterms:modified>
</cp:coreProperties>
</file>